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F278E">
      <w:pPr>
        <w:pStyle w:val="5"/>
        <w:spacing w:before="0" w:after="0" w:line="360" w:lineRule="auto"/>
        <w:jc w:val="left"/>
        <w:rPr>
          <w:rFonts w:hint="default" w:ascii="宋体" w:hAnsi="宋体" w:eastAsia="宋体"/>
          <w:sz w:val="36"/>
          <w:szCs w:val="36"/>
          <w:lang w:val="en-US" w:eastAsia="zh-CN"/>
        </w:rPr>
      </w:pPr>
      <w:r>
        <w:rPr>
          <w:rFonts w:hint="eastAsia"/>
          <w:sz w:val="36"/>
          <w:szCs w:val="36"/>
          <w:lang w:val="en-US" w:eastAsia="zh-CN"/>
        </w:rPr>
        <w:t>附件四</w:t>
      </w:r>
    </w:p>
    <w:p w14:paraId="4C9800BB">
      <w:pPr>
        <w:pStyle w:val="5"/>
        <w:spacing w:before="0" w:after="0" w:line="360" w:lineRule="auto"/>
        <w:jc w:val="center"/>
        <w:rPr>
          <w:rFonts w:ascii="宋体" w:hAnsi="宋体"/>
          <w:sz w:val="36"/>
          <w:szCs w:val="36"/>
        </w:rPr>
      </w:pPr>
    </w:p>
    <w:p w14:paraId="7A916119">
      <w:pPr>
        <w:jc w:val="center"/>
        <w:rPr>
          <w:rFonts w:hint="eastAsia" w:ascii="楷体" w:hAnsi="楷体" w:eastAsia="楷体" w:cs="楷体"/>
          <w:b/>
          <w:bCs/>
          <w:sz w:val="52"/>
          <w:szCs w:val="52"/>
        </w:rPr>
      </w:pPr>
      <w:r>
        <w:rPr>
          <w:rFonts w:hint="eastAsia" w:ascii="楷体" w:hAnsi="楷体" w:eastAsia="楷体" w:cs="楷体"/>
          <w:b/>
          <w:bCs/>
          <w:sz w:val="52"/>
          <w:szCs w:val="52"/>
        </w:rPr>
        <w:t>湄洲湾职业技术学院</w:t>
      </w:r>
    </w:p>
    <w:p w14:paraId="4C5B676D">
      <w:pPr>
        <w:jc w:val="center"/>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采购实施计划</w:t>
      </w:r>
    </w:p>
    <w:p w14:paraId="54C3CB09"/>
    <w:p w14:paraId="7D525BC3">
      <w:pPr>
        <w:ind w:firstLine="1044" w:firstLineChars="400"/>
        <w:rPr>
          <w:rFonts w:ascii="仿宋" w:hAnsi="仿宋" w:eastAsia="仿宋" w:cs="仿宋"/>
          <w:b/>
          <w:bCs/>
          <w:color w:val="000000"/>
          <w:kern w:val="0"/>
          <w:sz w:val="26"/>
          <w:szCs w:val="26"/>
          <w:shd w:val="clear" w:color="auto" w:fill="FFFFFF"/>
        </w:rPr>
      </w:pPr>
    </w:p>
    <w:p w14:paraId="1D44A201">
      <w:pPr>
        <w:ind w:firstLine="1044" w:firstLineChars="400"/>
        <w:rPr>
          <w:rFonts w:ascii="仿宋" w:hAnsi="仿宋" w:eastAsia="仿宋" w:cs="仿宋"/>
          <w:b/>
          <w:bCs/>
          <w:color w:val="000000"/>
          <w:kern w:val="0"/>
          <w:sz w:val="26"/>
          <w:szCs w:val="26"/>
          <w:shd w:val="clear" w:color="auto" w:fill="FFFFFF"/>
        </w:rPr>
      </w:pPr>
    </w:p>
    <w:tbl>
      <w:tblPr>
        <w:tblStyle w:val="9"/>
        <w:tblW w:w="0" w:type="auto"/>
        <w:jc w:val="center"/>
        <w:tblLayout w:type="fixed"/>
        <w:tblCellMar>
          <w:top w:w="0" w:type="dxa"/>
          <w:left w:w="108" w:type="dxa"/>
          <w:bottom w:w="0" w:type="dxa"/>
          <w:right w:w="108" w:type="dxa"/>
        </w:tblCellMar>
      </w:tblPr>
      <w:tblGrid>
        <w:gridCol w:w="2903"/>
        <w:gridCol w:w="4676"/>
      </w:tblGrid>
      <w:tr w14:paraId="48DDF16E">
        <w:tblPrEx>
          <w:tblCellMar>
            <w:top w:w="0" w:type="dxa"/>
            <w:left w:w="108" w:type="dxa"/>
            <w:bottom w:w="0" w:type="dxa"/>
            <w:right w:w="108" w:type="dxa"/>
          </w:tblCellMar>
        </w:tblPrEx>
        <w:trPr>
          <w:trHeight w:val="680" w:hRule="atLeast"/>
          <w:jc w:val="center"/>
        </w:trPr>
        <w:tc>
          <w:tcPr>
            <w:tcW w:w="2903" w:type="dxa"/>
            <w:noWrap w:val="0"/>
            <w:vAlign w:val="bottom"/>
          </w:tcPr>
          <w:p w14:paraId="22E73977">
            <w:pPr>
              <w:ind w:firstLine="480"/>
              <w:jc w:val="distribute"/>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项目编号：</w:t>
            </w:r>
          </w:p>
        </w:tc>
        <w:tc>
          <w:tcPr>
            <w:tcW w:w="4676" w:type="dxa"/>
            <w:tcBorders>
              <w:bottom w:val="single" w:color="auto" w:sz="4" w:space="0"/>
            </w:tcBorders>
            <w:noWrap w:val="0"/>
            <w:vAlign w:val="bottom"/>
          </w:tcPr>
          <w:p w14:paraId="41BD466C">
            <w:pPr>
              <w:ind w:firstLine="480"/>
              <w:jc w:val="center"/>
              <w:rPr>
                <w:rFonts w:hint="eastAsia" w:ascii="仿宋" w:hAnsi="仿宋" w:eastAsia="仿宋" w:cs="仿宋"/>
                <w:b/>
                <w:sz w:val="24"/>
              </w:rPr>
            </w:pPr>
          </w:p>
        </w:tc>
      </w:tr>
      <w:tr w14:paraId="5C9D95DD">
        <w:tblPrEx>
          <w:tblCellMar>
            <w:top w:w="0" w:type="dxa"/>
            <w:left w:w="108" w:type="dxa"/>
            <w:bottom w:w="0" w:type="dxa"/>
            <w:right w:w="108" w:type="dxa"/>
          </w:tblCellMar>
        </w:tblPrEx>
        <w:trPr>
          <w:trHeight w:val="680" w:hRule="atLeast"/>
          <w:jc w:val="center"/>
        </w:trPr>
        <w:tc>
          <w:tcPr>
            <w:tcW w:w="2903" w:type="dxa"/>
            <w:noWrap w:val="0"/>
            <w:vAlign w:val="bottom"/>
          </w:tcPr>
          <w:p w14:paraId="59A5A8B6">
            <w:pPr>
              <w:ind w:firstLine="480"/>
              <w:jc w:val="distribute"/>
              <w:rPr>
                <w:rFonts w:hint="eastAsia" w:ascii="仿宋" w:hAnsi="仿宋" w:eastAsia="仿宋" w:cs="仿宋"/>
                <w:b/>
                <w:bCs/>
                <w:sz w:val="28"/>
                <w:szCs w:val="28"/>
                <w:lang w:val="en-US" w:eastAsia="zh-CN"/>
              </w:rPr>
            </w:pPr>
            <w:r>
              <w:rPr>
                <w:rFonts w:hint="eastAsia" w:ascii="仿宋" w:hAnsi="仿宋" w:eastAsia="仿宋" w:cs="仿宋"/>
                <w:b/>
                <w:bCs/>
                <w:sz w:val="28"/>
                <w:szCs w:val="28"/>
              </w:rPr>
              <w:t>项目名称：</w:t>
            </w:r>
          </w:p>
        </w:tc>
        <w:tc>
          <w:tcPr>
            <w:tcW w:w="4676" w:type="dxa"/>
            <w:tcBorders>
              <w:bottom w:val="single" w:color="auto" w:sz="4" w:space="0"/>
            </w:tcBorders>
            <w:noWrap w:val="0"/>
            <w:vAlign w:val="bottom"/>
          </w:tcPr>
          <w:p w14:paraId="47CC0A6F">
            <w:pPr>
              <w:ind w:firstLine="480"/>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珠宝加工省赛基地建设</w:t>
            </w:r>
          </w:p>
        </w:tc>
      </w:tr>
      <w:tr w14:paraId="31DD7768">
        <w:tblPrEx>
          <w:tblCellMar>
            <w:top w:w="0" w:type="dxa"/>
            <w:left w:w="108" w:type="dxa"/>
            <w:bottom w:w="0" w:type="dxa"/>
            <w:right w:w="108" w:type="dxa"/>
          </w:tblCellMar>
        </w:tblPrEx>
        <w:trPr>
          <w:trHeight w:val="680" w:hRule="atLeast"/>
          <w:jc w:val="center"/>
        </w:trPr>
        <w:tc>
          <w:tcPr>
            <w:tcW w:w="2903" w:type="dxa"/>
            <w:noWrap w:val="0"/>
            <w:vAlign w:val="bottom"/>
          </w:tcPr>
          <w:p w14:paraId="6C5D2AB8">
            <w:pPr>
              <w:ind w:firstLine="480"/>
              <w:jc w:val="distribute"/>
              <w:rPr>
                <w:rFonts w:hint="eastAsia" w:ascii="仿宋" w:hAnsi="仿宋" w:eastAsia="仿宋" w:cs="仿宋"/>
                <w:b/>
                <w:sz w:val="28"/>
                <w:szCs w:val="28"/>
              </w:rPr>
            </w:pPr>
            <w:r>
              <w:rPr>
                <w:rFonts w:hint="eastAsia" w:ascii="仿宋" w:hAnsi="仿宋" w:eastAsia="仿宋" w:cs="仿宋"/>
                <w:b/>
                <w:bCs/>
                <w:sz w:val="28"/>
                <w:szCs w:val="28"/>
              </w:rPr>
              <w:t>实训室名称：</w:t>
            </w:r>
          </w:p>
        </w:tc>
        <w:tc>
          <w:tcPr>
            <w:tcW w:w="4676" w:type="dxa"/>
            <w:tcBorders>
              <w:bottom w:val="single" w:color="auto" w:sz="4" w:space="0"/>
            </w:tcBorders>
            <w:noWrap w:val="0"/>
            <w:vAlign w:val="bottom"/>
          </w:tcPr>
          <w:p w14:paraId="52E9BC11">
            <w:pPr>
              <w:ind w:firstLine="480"/>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珠宝加工省赛基地</w:t>
            </w:r>
          </w:p>
        </w:tc>
      </w:tr>
      <w:tr w14:paraId="0A8A8B72">
        <w:tblPrEx>
          <w:tblCellMar>
            <w:top w:w="0" w:type="dxa"/>
            <w:left w:w="108" w:type="dxa"/>
            <w:bottom w:w="0" w:type="dxa"/>
            <w:right w:w="108" w:type="dxa"/>
          </w:tblCellMar>
        </w:tblPrEx>
        <w:trPr>
          <w:trHeight w:val="680" w:hRule="atLeast"/>
          <w:jc w:val="center"/>
        </w:trPr>
        <w:tc>
          <w:tcPr>
            <w:tcW w:w="2903" w:type="dxa"/>
            <w:noWrap w:val="0"/>
            <w:vAlign w:val="bottom"/>
          </w:tcPr>
          <w:p w14:paraId="073DCE51">
            <w:pPr>
              <w:ind w:firstLine="480"/>
              <w:jc w:val="distribute"/>
              <w:rPr>
                <w:rFonts w:hint="eastAsia" w:ascii="仿宋" w:hAnsi="仿宋" w:eastAsia="仿宋" w:cs="仿宋"/>
                <w:b/>
                <w:bCs/>
                <w:sz w:val="28"/>
                <w:szCs w:val="28"/>
              </w:rPr>
            </w:pPr>
            <w:r>
              <w:rPr>
                <w:rFonts w:hint="eastAsia" w:ascii="仿宋" w:hAnsi="仿宋" w:eastAsia="仿宋" w:cs="仿宋"/>
                <w:b/>
                <w:bCs/>
                <w:sz w:val="28"/>
                <w:szCs w:val="28"/>
                <w:lang w:val="en-US" w:eastAsia="zh-CN"/>
              </w:rPr>
              <w:t>申报单位</w:t>
            </w:r>
            <w:r>
              <w:rPr>
                <w:rFonts w:hint="eastAsia" w:ascii="仿宋" w:hAnsi="仿宋" w:eastAsia="仿宋" w:cs="仿宋"/>
                <w:b/>
                <w:bCs/>
                <w:sz w:val="28"/>
                <w:szCs w:val="28"/>
              </w:rPr>
              <w:t>：</w:t>
            </w:r>
          </w:p>
        </w:tc>
        <w:tc>
          <w:tcPr>
            <w:tcW w:w="4676" w:type="dxa"/>
            <w:tcBorders>
              <w:bottom w:val="single" w:color="auto" w:sz="4" w:space="0"/>
            </w:tcBorders>
            <w:noWrap w:val="0"/>
            <w:vAlign w:val="bottom"/>
          </w:tcPr>
          <w:p w14:paraId="47084F82">
            <w:pPr>
              <w:ind w:firstLine="4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工艺美术系</w:t>
            </w:r>
          </w:p>
        </w:tc>
      </w:tr>
      <w:tr w14:paraId="1626CF51">
        <w:tblPrEx>
          <w:tblCellMar>
            <w:top w:w="0" w:type="dxa"/>
            <w:left w:w="108" w:type="dxa"/>
            <w:bottom w:w="0" w:type="dxa"/>
            <w:right w:w="108" w:type="dxa"/>
          </w:tblCellMar>
        </w:tblPrEx>
        <w:trPr>
          <w:trHeight w:val="680" w:hRule="atLeast"/>
          <w:jc w:val="center"/>
        </w:trPr>
        <w:tc>
          <w:tcPr>
            <w:tcW w:w="2903" w:type="dxa"/>
            <w:noWrap w:val="0"/>
            <w:vAlign w:val="bottom"/>
          </w:tcPr>
          <w:p w14:paraId="25335743">
            <w:pPr>
              <w:ind w:firstLine="480"/>
              <w:jc w:val="distribute"/>
              <w:rPr>
                <w:rFonts w:hint="eastAsia" w:ascii="仿宋" w:hAnsi="仿宋" w:eastAsia="仿宋" w:cs="仿宋"/>
                <w:b/>
                <w:sz w:val="28"/>
                <w:szCs w:val="28"/>
              </w:rPr>
            </w:pPr>
            <w:r>
              <w:rPr>
                <w:rFonts w:hint="eastAsia" w:ascii="仿宋" w:hAnsi="仿宋" w:eastAsia="仿宋" w:cs="仿宋"/>
                <w:b/>
                <w:bCs/>
                <w:sz w:val="28"/>
                <w:szCs w:val="28"/>
                <w:lang w:val="en-US" w:eastAsia="zh-CN"/>
              </w:rPr>
              <w:t>预算金额（万元）</w:t>
            </w:r>
            <w:r>
              <w:rPr>
                <w:rFonts w:hint="eastAsia" w:ascii="仿宋" w:hAnsi="仿宋" w:eastAsia="仿宋" w:cs="仿宋"/>
                <w:b/>
                <w:bCs/>
                <w:sz w:val="28"/>
                <w:szCs w:val="28"/>
              </w:rPr>
              <w:t>：</w:t>
            </w:r>
          </w:p>
        </w:tc>
        <w:tc>
          <w:tcPr>
            <w:tcW w:w="4676" w:type="dxa"/>
            <w:tcBorders>
              <w:top w:val="single" w:color="auto" w:sz="4" w:space="0"/>
              <w:bottom w:val="single" w:color="auto" w:sz="4" w:space="0"/>
            </w:tcBorders>
            <w:noWrap w:val="0"/>
            <w:vAlign w:val="bottom"/>
          </w:tcPr>
          <w:p w14:paraId="3D754D4A">
            <w:pPr>
              <w:ind w:firstLine="4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86.65</w:t>
            </w:r>
          </w:p>
        </w:tc>
      </w:tr>
      <w:tr w14:paraId="79AB7C4C">
        <w:tblPrEx>
          <w:tblCellMar>
            <w:top w:w="0" w:type="dxa"/>
            <w:left w:w="108" w:type="dxa"/>
            <w:bottom w:w="0" w:type="dxa"/>
            <w:right w:w="108" w:type="dxa"/>
          </w:tblCellMar>
        </w:tblPrEx>
        <w:trPr>
          <w:trHeight w:val="680" w:hRule="atLeast"/>
          <w:jc w:val="center"/>
        </w:trPr>
        <w:tc>
          <w:tcPr>
            <w:tcW w:w="2903" w:type="dxa"/>
            <w:noWrap w:val="0"/>
            <w:vAlign w:val="bottom"/>
          </w:tcPr>
          <w:p w14:paraId="780F1702">
            <w:pPr>
              <w:ind w:firstLine="480" w:firstLineChars="0"/>
              <w:jc w:val="distribute"/>
              <w:rPr>
                <w:rFonts w:hint="eastAsia" w:ascii="仿宋" w:hAnsi="仿宋" w:eastAsia="仿宋" w:cs="仿宋"/>
                <w:b/>
                <w:sz w:val="28"/>
                <w:szCs w:val="28"/>
              </w:rPr>
            </w:pPr>
            <w:r>
              <w:rPr>
                <w:rFonts w:hint="eastAsia" w:ascii="仿宋" w:hAnsi="仿宋" w:eastAsia="仿宋" w:cs="仿宋"/>
                <w:b/>
                <w:bCs/>
                <w:sz w:val="28"/>
                <w:szCs w:val="28"/>
              </w:rPr>
              <w:t>项目负责人：</w:t>
            </w:r>
          </w:p>
        </w:tc>
        <w:tc>
          <w:tcPr>
            <w:tcW w:w="4676" w:type="dxa"/>
            <w:tcBorders>
              <w:top w:val="single" w:color="auto" w:sz="4" w:space="0"/>
              <w:bottom w:val="single" w:color="auto" w:sz="4" w:space="0"/>
            </w:tcBorders>
            <w:noWrap w:val="0"/>
            <w:vAlign w:val="bottom"/>
          </w:tcPr>
          <w:p w14:paraId="4164C733">
            <w:pPr>
              <w:ind w:firstLine="480"/>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刘娜</w:t>
            </w:r>
          </w:p>
        </w:tc>
      </w:tr>
      <w:tr w14:paraId="2630028B">
        <w:tblPrEx>
          <w:tblCellMar>
            <w:top w:w="0" w:type="dxa"/>
            <w:left w:w="108" w:type="dxa"/>
            <w:bottom w:w="0" w:type="dxa"/>
            <w:right w:w="108" w:type="dxa"/>
          </w:tblCellMar>
        </w:tblPrEx>
        <w:trPr>
          <w:trHeight w:val="680" w:hRule="atLeast"/>
          <w:jc w:val="center"/>
        </w:trPr>
        <w:tc>
          <w:tcPr>
            <w:tcW w:w="2903" w:type="dxa"/>
            <w:noWrap w:val="0"/>
            <w:vAlign w:val="bottom"/>
          </w:tcPr>
          <w:p w14:paraId="60764834">
            <w:pPr>
              <w:ind w:firstLine="480" w:firstLineChars="0"/>
              <w:jc w:val="distribute"/>
              <w:rPr>
                <w:rFonts w:hint="eastAsia" w:ascii="仿宋" w:hAnsi="仿宋" w:eastAsia="仿宋" w:cs="仿宋"/>
                <w:b/>
                <w:sz w:val="28"/>
                <w:szCs w:val="28"/>
              </w:rPr>
            </w:pPr>
            <w:r>
              <w:rPr>
                <w:rFonts w:hint="eastAsia" w:ascii="仿宋" w:hAnsi="仿宋" w:eastAsia="仿宋" w:cs="仿宋"/>
                <w:b/>
                <w:bCs/>
                <w:sz w:val="28"/>
                <w:szCs w:val="28"/>
              </w:rPr>
              <w:t>联系电话：</w:t>
            </w:r>
          </w:p>
        </w:tc>
        <w:tc>
          <w:tcPr>
            <w:tcW w:w="4676" w:type="dxa"/>
            <w:tcBorders>
              <w:top w:val="single" w:color="auto" w:sz="4" w:space="0"/>
              <w:bottom w:val="single" w:color="auto" w:sz="4" w:space="0"/>
            </w:tcBorders>
            <w:noWrap w:val="0"/>
            <w:vAlign w:val="bottom"/>
          </w:tcPr>
          <w:p w14:paraId="054D0932">
            <w:pPr>
              <w:ind w:firstLine="4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15880313556</w:t>
            </w:r>
          </w:p>
        </w:tc>
      </w:tr>
      <w:tr w14:paraId="5F8C0A97">
        <w:tblPrEx>
          <w:tblCellMar>
            <w:top w:w="0" w:type="dxa"/>
            <w:left w:w="108" w:type="dxa"/>
            <w:bottom w:w="0" w:type="dxa"/>
            <w:right w:w="108" w:type="dxa"/>
          </w:tblCellMar>
        </w:tblPrEx>
        <w:trPr>
          <w:trHeight w:val="680" w:hRule="atLeast"/>
          <w:jc w:val="center"/>
        </w:trPr>
        <w:tc>
          <w:tcPr>
            <w:tcW w:w="2903" w:type="dxa"/>
            <w:noWrap w:val="0"/>
            <w:vAlign w:val="bottom"/>
          </w:tcPr>
          <w:p w14:paraId="0C99BB73">
            <w:pPr>
              <w:ind w:firstLine="480"/>
              <w:jc w:val="distribut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填报日期：</w:t>
            </w:r>
          </w:p>
        </w:tc>
        <w:tc>
          <w:tcPr>
            <w:tcW w:w="4676" w:type="dxa"/>
            <w:tcBorders>
              <w:top w:val="single" w:color="auto" w:sz="4" w:space="0"/>
              <w:bottom w:val="single" w:color="auto" w:sz="4" w:space="0"/>
            </w:tcBorders>
            <w:noWrap w:val="0"/>
            <w:vAlign w:val="bottom"/>
          </w:tcPr>
          <w:p w14:paraId="747CB383">
            <w:pPr>
              <w:ind w:firstLine="48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2024年4月26日</w:t>
            </w:r>
          </w:p>
        </w:tc>
      </w:tr>
    </w:tbl>
    <w:p w14:paraId="690E6FBA">
      <w:pPr>
        <w:rPr>
          <w:rFonts w:ascii="宋体" w:hAnsi="宋体"/>
          <w:color w:val="FF0000"/>
          <w:sz w:val="28"/>
          <w:szCs w:val="28"/>
        </w:rPr>
      </w:pPr>
    </w:p>
    <w:p w14:paraId="2EF2C448">
      <w:pPr>
        <w:rPr>
          <w:rFonts w:ascii="宋体" w:hAnsi="宋体"/>
          <w:color w:val="FF0000"/>
          <w:sz w:val="28"/>
          <w:szCs w:val="28"/>
        </w:rPr>
      </w:pPr>
    </w:p>
    <w:p w14:paraId="5CF27484">
      <w:pPr>
        <w:rPr>
          <w:rFonts w:ascii="宋体" w:hAnsi="宋体"/>
          <w:color w:val="FF0000"/>
          <w:sz w:val="28"/>
          <w:szCs w:val="28"/>
        </w:rPr>
      </w:pPr>
    </w:p>
    <w:p w14:paraId="34408C78">
      <w:pPr>
        <w:rPr>
          <w:rFonts w:ascii="宋体" w:hAnsi="宋体"/>
          <w:color w:val="FF0000"/>
          <w:sz w:val="28"/>
          <w:szCs w:val="28"/>
        </w:rPr>
      </w:pPr>
    </w:p>
    <w:p w14:paraId="7ACB7833">
      <w:pPr>
        <w:pStyle w:val="8"/>
        <w:rPr>
          <w:rFonts w:ascii="宋体" w:hAnsi="宋体"/>
          <w:color w:val="FF0000"/>
          <w:sz w:val="28"/>
          <w:szCs w:val="28"/>
        </w:rPr>
      </w:pPr>
    </w:p>
    <w:p w14:paraId="73DC3AE1">
      <w:pPr>
        <w:pStyle w:val="8"/>
        <w:rPr>
          <w:rFonts w:ascii="宋体" w:hAnsi="宋体"/>
          <w:color w:val="FF0000"/>
          <w:sz w:val="28"/>
          <w:szCs w:val="28"/>
        </w:rPr>
      </w:pPr>
    </w:p>
    <w:p w14:paraId="35ADB8CE">
      <w:pPr>
        <w:jc w:val="center"/>
        <w:rPr>
          <w:rFonts w:ascii="宋体" w:hAnsi="宋体" w:cs="仿宋"/>
          <w:b/>
          <w:color w:val="000000"/>
          <w:kern w:val="0"/>
          <w:sz w:val="30"/>
          <w:szCs w:val="30"/>
          <w:shd w:val="clear" w:color="auto" w:fill="FFFFFF"/>
        </w:rPr>
      </w:pPr>
      <w:r>
        <w:rPr>
          <w:rFonts w:hint="eastAsia" w:ascii="宋体" w:hAnsi="宋体" w:cs="仿宋"/>
          <w:b/>
          <w:color w:val="000000"/>
          <w:kern w:val="0"/>
          <w:sz w:val="30"/>
          <w:szCs w:val="30"/>
          <w:shd w:val="clear" w:color="auto" w:fill="FFFFFF"/>
        </w:rPr>
        <w:t>编制说明</w:t>
      </w:r>
    </w:p>
    <w:p w14:paraId="0257F02C">
      <w:pPr>
        <w:widowControl/>
        <w:spacing w:line="560" w:lineRule="atLeast"/>
        <w:ind w:firstLine="640"/>
        <w:jc w:val="left"/>
        <w:rPr>
          <w:rFonts w:ascii="宋体" w:hAnsi="宋体" w:cs="仿宋"/>
          <w:color w:val="000000"/>
          <w:kern w:val="0"/>
          <w:sz w:val="28"/>
          <w:szCs w:val="28"/>
          <w:shd w:val="clear" w:color="auto" w:fill="FFFFFF"/>
        </w:rPr>
      </w:pPr>
    </w:p>
    <w:p w14:paraId="4FBECB1F">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lang w:val="en-US" w:eastAsia="zh-CN"/>
        </w:rPr>
        <w:t>申购单位负责根据</w:t>
      </w:r>
      <w:r>
        <w:rPr>
          <w:rFonts w:hint="eastAsia" w:ascii="宋体" w:hAnsi="宋体" w:cs="仿宋"/>
          <w:color w:val="000000"/>
          <w:kern w:val="0"/>
          <w:sz w:val="28"/>
          <w:szCs w:val="28"/>
          <w:shd w:val="clear" w:color="auto" w:fill="FFFFFF"/>
        </w:rPr>
        <w:t>采购需求书编制采购实施计划。</w:t>
      </w:r>
    </w:p>
    <w:p w14:paraId="44141273">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lang w:val="en-US" w:eastAsia="zh-CN"/>
        </w:rPr>
        <w:t>后勤管理处负责指导申购单位填写“合同订立安排”部分内容。</w:t>
      </w:r>
    </w:p>
    <w:p w14:paraId="7DDAA023">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lang w:val="en-US" w:eastAsia="zh-CN"/>
        </w:rPr>
        <w:t>公共实训管理中心负责指导申购单位填写“</w:t>
      </w:r>
      <w:r>
        <w:rPr>
          <w:rFonts w:hint="eastAsia" w:ascii="黑体" w:hAnsi="黑体" w:eastAsia="黑体"/>
          <w:sz w:val="24"/>
          <w:szCs w:val="24"/>
        </w:rPr>
        <w:t>合同</w:t>
      </w:r>
      <w:r>
        <w:rPr>
          <w:rFonts w:hint="eastAsia" w:ascii="黑体" w:hAnsi="黑体" w:eastAsia="黑体"/>
          <w:sz w:val="24"/>
          <w:szCs w:val="24"/>
          <w:lang w:val="en-US" w:eastAsia="zh-CN"/>
        </w:rPr>
        <w:t>管理</w:t>
      </w:r>
      <w:r>
        <w:rPr>
          <w:rFonts w:hint="eastAsia" w:ascii="黑体" w:hAnsi="黑体" w:eastAsia="黑体"/>
          <w:sz w:val="24"/>
          <w:szCs w:val="24"/>
        </w:rPr>
        <w:t>安排</w:t>
      </w:r>
      <w:r>
        <w:rPr>
          <w:rFonts w:hint="eastAsia" w:ascii="宋体" w:hAnsi="宋体" w:cs="仿宋"/>
          <w:color w:val="000000"/>
          <w:kern w:val="0"/>
          <w:sz w:val="28"/>
          <w:szCs w:val="28"/>
          <w:shd w:val="clear" w:color="auto" w:fill="FFFFFF"/>
          <w:lang w:val="en-US" w:eastAsia="zh-CN"/>
        </w:rPr>
        <w:t>”部分内容。</w:t>
      </w:r>
    </w:p>
    <w:p w14:paraId="3AF2FC2F">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lang w:val="en-US" w:eastAsia="zh-CN"/>
        </w:rPr>
        <w:t>四</w:t>
      </w:r>
      <w:r>
        <w:rPr>
          <w:rFonts w:hint="eastAsia" w:ascii="宋体" w:hAnsi="宋体" w:cs="仿宋"/>
          <w:color w:val="000000"/>
          <w:kern w:val="0"/>
          <w:sz w:val="28"/>
          <w:szCs w:val="28"/>
          <w:shd w:val="clear" w:color="auto" w:fill="FFFFFF"/>
        </w:rPr>
        <w:t>、编制的采购实施计划应当符合《财政部关于印发政府采购需求管理办法的通知》（财库〔2021〕22号）要求及政府采购的相关规定。</w:t>
      </w:r>
    </w:p>
    <w:p w14:paraId="4683DD5F">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lang w:val="en-US" w:eastAsia="zh-CN"/>
        </w:rPr>
        <w:t>五</w:t>
      </w:r>
      <w:r>
        <w:rPr>
          <w:rFonts w:hint="eastAsia" w:ascii="宋体" w:hAnsi="宋体" w:cs="仿宋"/>
          <w:color w:val="000000"/>
          <w:kern w:val="0"/>
          <w:sz w:val="28"/>
          <w:szCs w:val="28"/>
          <w:shd w:val="clear" w:color="auto" w:fill="FFFFFF"/>
        </w:rPr>
        <w:t>、斜体字部分属于提醒内容，编制时应删除。</w:t>
      </w:r>
    </w:p>
    <w:p w14:paraId="721CDE07">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lang w:val="en-US" w:eastAsia="zh-CN"/>
        </w:rPr>
        <w:t>六</w:t>
      </w:r>
      <w:r>
        <w:rPr>
          <w:rFonts w:hint="eastAsia" w:ascii="宋体" w:hAnsi="宋体" w:cs="仿宋"/>
          <w:color w:val="000000"/>
          <w:kern w:val="0"/>
          <w:sz w:val="28"/>
          <w:szCs w:val="28"/>
          <w:shd w:val="clear" w:color="auto" w:fill="FFFFFF"/>
        </w:rPr>
        <w:t>、对不适用的内容应删除，并调整相应序号。</w:t>
      </w:r>
    </w:p>
    <w:p w14:paraId="57012598">
      <w:pPr>
        <w:rPr>
          <w:sz w:val="28"/>
          <w:szCs w:val="28"/>
        </w:rPr>
      </w:pPr>
    </w:p>
    <w:p w14:paraId="0637B4CB">
      <w:pPr>
        <w:spacing w:line="360" w:lineRule="auto"/>
      </w:pPr>
    </w:p>
    <w:p w14:paraId="04781D5D">
      <w:pPr>
        <w:widowControl/>
        <w:shd w:val="clear" w:color="auto" w:fill="FFFFFF"/>
        <w:spacing w:line="360" w:lineRule="auto"/>
        <w:ind w:firstLine="562" w:firstLineChars="200"/>
        <w:jc w:val="left"/>
        <w:rPr>
          <w:rFonts w:ascii="宋体" w:hAnsi="宋体" w:cs="Arial"/>
          <w:b/>
          <w:color w:val="333333"/>
          <w:kern w:val="0"/>
          <w:sz w:val="28"/>
          <w:szCs w:val="28"/>
        </w:rPr>
      </w:pPr>
    </w:p>
    <w:p w14:paraId="0C1E29F5">
      <w:pPr>
        <w:widowControl/>
        <w:shd w:val="clear" w:color="auto" w:fill="FFFFFF"/>
        <w:spacing w:line="360" w:lineRule="auto"/>
        <w:ind w:firstLine="562" w:firstLineChars="200"/>
        <w:jc w:val="left"/>
        <w:rPr>
          <w:rFonts w:ascii="宋体" w:hAnsi="宋体" w:cs="Arial"/>
          <w:b/>
          <w:color w:val="333333"/>
          <w:kern w:val="0"/>
          <w:sz w:val="28"/>
          <w:szCs w:val="28"/>
        </w:rPr>
      </w:pPr>
    </w:p>
    <w:p w14:paraId="6F2CB777">
      <w:pPr>
        <w:widowControl/>
        <w:shd w:val="clear" w:color="auto" w:fill="FFFFFF"/>
        <w:spacing w:line="360" w:lineRule="auto"/>
        <w:ind w:firstLine="562" w:firstLineChars="200"/>
        <w:jc w:val="left"/>
        <w:rPr>
          <w:rFonts w:ascii="宋体" w:hAnsi="宋体" w:cs="Arial"/>
          <w:b/>
          <w:color w:val="333333"/>
          <w:kern w:val="0"/>
          <w:sz w:val="28"/>
          <w:szCs w:val="28"/>
        </w:rPr>
      </w:pPr>
    </w:p>
    <w:p w14:paraId="7F752C9E">
      <w:pPr>
        <w:widowControl/>
        <w:shd w:val="clear" w:color="auto" w:fill="FFFFFF"/>
        <w:spacing w:line="360" w:lineRule="auto"/>
        <w:ind w:firstLine="562" w:firstLineChars="200"/>
        <w:jc w:val="left"/>
        <w:rPr>
          <w:rFonts w:ascii="宋体" w:hAnsi="宋体" w:cs="Arial"/>
          <w:b/>
          <w:color w:val="333333"/>
          <w:kern w:val="0"/>
          <w:sz w:val="28"/>
          <w:szCs w:val="28"/>
        </w:rPr>
      </w:pPr>
    </w:p>
    <w:p w14:paraId="1D11D26F">
      <w:pPr>
        <w:widowControl/>
        <w:shd w:val="clear" w:color="auto" w:fill="FFFFFF"/>
        <w:spacing w:line="360" w:lineRule="auto"/>
        <w:ind w:firstLine="562" w:firstLineChars="200"/>
        <w:jc w:val="left"/>
        <w:rPr>
          <w:rFonts w:ascii="宋体" w:hAnsi="宋体" w:cs="Arial"/>
          <w:b/>
          <w:color w:val="333333"/>
          <w:kern w:val="0"/>
          <w:sz w:val="28"/>
          <w:szCs w:val="28"/>
        </w:rPr>
      </w:pPr>
    </w:p>
    <w:p w14:paraId="0F0FE647">
      <w:pPr>
        <w:widowControl/>
        <w:shd w:val="clear" w:color="auto" w:fill="FFFFFF"/>
        <w:spacing w:line="360" w:lineRule="auto"/>
        <w:ind w:firstLine="562" w:firstLineChars="200"/>
        <w:jc w:val="left"/>
        <w:rPr>
          <w:rFonts w:ascii="宋体" w:hAnsi="宋体" w:cs="Arial"/>
          <w:b/>
          <w:color w:val="333333"/>
          <w:kern w:val="0"/>
          <w:sz w:val="28"/>
          <w:szCs w:val="28"/>
        </w:rPr>
      </w:pPr>
    </w:p>
    <w:p w14:paraId="6822ED50">
      <w:pPr>
        <w:widowControl/>
        <w:shd w:val="clear" w:color="auto" w:fill="FFFFFF"/>
        <w:spacing w:line="360" w:lineRule="auto"/>
        <w:ind w:firstLine="562" w:firstLineChars="200"/>
        <w:jc w:val="left"/>
        <w:rPr>
          <w:rFonts w:ascii="宋体" w:hAnsi="宋体" w:cs="Arial"/>
          <w:b/>
          <w:color w:val="333333"/>
          <w:kern w:val="0"/>
          <w:sz w:val="28"/>
          <w:szCs w:val="28"/>
        </w:rPr>
      </w:pPr>
    </w:p>
    <w:p w14:paraId="1313E85B">
      <w:pPr>
        <w:widowControl/>
        <w:shd w:val="clear" w:color="auto" w:fill="FFFFFF"/>
        <w:spacing w:line="360" w:lineRule="auto"/>
        <w:ind w:firstLine="562" w:firstLineChars="200"/>
        <w:jc w:val="left"/>
        <w:rPr>
          <w:rFonts w:ascii="宋体" w:hAnsi="宋体" w:cs="Arial"/>
          <w:b/>
          <w:color w:val="333333"/>
          <w:kern w:val="0"/>
          <w:sz w:val="28"/>
          <w:szCs w:val="28"/>
        </w:rPr>
      </w:pPr>
    </w:p>
    <w:p w14:paraId="50567932">
      <w:pPr>
        <w:pStyle w:val="4"/>
        <w:spacing w:line="360" w:lineRule="auto"/>
        <w:ind w:firstLine="472" w:firstLineChars="196"/>
        <w:rPr>
          <w:rFonts w:ascii="黑体" w:hAnsi="黑体" w:eastAsia="黑体"/>
          <w:sz w:val="24"/>
          <w:szCs w:val="24"/>
        </w:rPr>
      </w:pPr>
      <w:r>
        <w:rPr>
          <w:rFonts w:hint="eastAsia" w:ascii="黑体" w:hAnsi="黑体" w:eastAsia="黑体"/>
          <w:sz w:val="24"/>
          <w:szCs w:val="24"/>
        </w:rPr>
        <w:t>一、合同订立安排</w:t>
      </w:r>
    </w:p>
    <w:p w14:paraId="4EF75109">
      <w:pPr>
        <w:pStyle w:val="13"/>
        <w:spacing w:line="360" w:lineRule="auto"/>
        <w:ind w:firstLine="482"/>
        <w:rPr>
          <w:rFonts w:ascii="宋体" w:hAnsi="宋体"/>
          <w:b/>
          <w:bCs/>
          <w:sz w:val="24"/>
          <w:szCs w:val="24"/>
        </w:rPr>
      </w:pPr>
      <w:bookmarkStart w:id="0" w:name="_Toc13411"/>
      <w:r>
        <w:rPr>
          <w:rFonts w:hint="eastAsia" w:ascii="宋体" w:hAnsi="宋体"/>
          <w:b/>
          <w:bCs/>
          <w:sz w:val="24"/>
          <w:szCs w:val="24"/>
        </w:rPr>
        <w:t>（一）项目采购预算</w:t>
      </w:r>
      <w:bookmarkEnd w:id="0"/>
    </w:p>
    <w:p w14:paraId="1D1CB767">
      <w:pPr>
        <w:widowControl/>
        <w:spacing w:line="360" w:lineRule="auto"/>
        <w:ind w:firstLine="600"/>
        <w:jc w:val="left"/>
        <w:rPr>
          <w:rFonts w:hint="default" w:ascii="宋体" w:hAnsi="宋体" w:eastAsia="宋体" w:cs="仿宋"/>
          <w:sz w:val="24"/>
          <w:szCs w:val="24"/>
          <w:lang w:val="en-US" w:eastAsia="zh-CN"/>
        </w:rPr>
      </w:pPr>
      <w:r>
        <w:rPr>
          <w:rFonts w:hint="eastAsia" w:ascii="宋体" w:hAnsi="宋体" w:cs="仿宋"/>
          <w:sz w:val="24"/>
          <w:szCs w:val="24"/>
        </w:rPr>
        <w:t>1.项目采购预算：（</w:t>
      </w:r>
      <w:r>
        <w:rPr>
          <w:rFonts w:hint="eastAsia" w:ascii="宋体" w:hAnsi="宋体" w:cs="仿宋"/>
          <w:sz w:val="24"/>
          <w:szCs w:val="24"/>
          <w:lang w:val="en-US" w:eastAsia="zh-CN"/>
        </w:rPr>
        <w:t>¥</w:t>
      </w:r>
      <w:r>
        <w:rPr>
          <w:rFonts w:hint="eastAsia" w:ascii="宋体" w:hAnsi="宋体" w:cs="仿宋"/>
          <w:sz w:val="24"/>
          <w:szCs w:val="24"/>
        </w:rPr>
        <w:t>）</w:t>
      </w:r>
      <w:r>
        <w:rPr>
          <w:rFonts w:hint="eastAsia" w:ascii="宋体" w:hAnsi="宋体" w:cs="仿宋"/>
          <w:sz w:val="24"/>
          <w:szCs w:val="24"/>
          <w:u w:val="single"/>
          <w:lang w:val="en-US" w:eastAsia="zh-CN"/>
        </w:rPr>
        <w:t>捌</w:t>
      </w:r>
      <w:r>
        <w:rPr>
          <w:rFonts w:hint="eastAsia" w:ascii="宋体" w:hAnsi="宋体" w:cs="仿宋"/>
          <w:sz w:val="24"/>
          <w:szCs w:val="24"/>
          <w:u w:val="single"/>
        </w:rPr>
        <w:t>拾</w:t>
      </w:r>
      <w:r>
        <w:rPr>
          <w:rFonts w:hint="eastAsia" w:ascii="宋体" w:hAnsi="宋体" w:cs="仿宋"/>
          <w:sz w:val="24"/>
          <w:szCs w:val="24"/>
          <w:u w:val="single"/>
          <w:lang w:val="en-US" w:eastAsia="zh-CN"/>
        </w:rPr>
        <w:t>陆</w:t>
      </w:r>
      <w:r>
        <w:rPr>
          <w:rFonts w:hint="eastAsia" w:ascii="宋体" w:hAnsi="宋体" w:cs="仿宋"/>
          <w:sz w:val="24"/>
          <w:szCs w:val="24"/>
          <w:u w:val="single"/>
        </w:rPr>
        <w:t>万</w:t>
      </w:r>
      <w:r>
        <w:rPr>
          <w:rFonts w:hint="eastAsia" w:ascii="宋体" w:hAnsi="宋体" w:cs="仿宋"/>
          <w:sz w:val="24"/>
          <w:szCs w:val="24"/>
          <w:u w:val="single"/>
          <w:lang w:val="en-US" w:eastAsia="zh-CN"/>
        </w:rPr>
        <w:t>陆仟伍佰</w:t>
      </w:r>
      <w:r>
        <w:rPr>
          <w:rFonts w:hint="eastAsia" w:ascii="宋体" w:hAnsi="宋体" w:cs="仿宋"/>
          <w:sz w:val="24"/>
          <w:szCs w:val="24"/>
          <w:u w:val="single"/>
        </w:rPr>
        <w:t>元整</w:t>
      </w:r>
      <w:r>
        <w:rPr>
          <w:rFonts w:hint="eastAsia" w:ascii="宋体" w:hAnsi="宋体" w:cs="仿宋"/>
          <w:sz w:val="24"/>
          <w:szCs w:val="24"/>
        </w:rPr>
        <w:t>，</w:t>
      </w:r>
      <w:r>
        <w:rPr>
          <w:rFonts w:hint="eastAsia" w:ascii="宋体" w:hAnsi="宋体" w:cs="仿宋"/>
          <w:sz w:val="24"/>
          <w:szCs w:val="24"/>
          <w:u w:val="single"/>
          <w:lang w:val="en-US" w:eastAsia="zh-CN"/>
        </w:rPr>
        <w:t>866500元</w:t>
      </w:r>
    </w:p>
    <w:p w14:paraId="2E3DB7BE">
      <w:pPr>
        <w:widowControl/>
        <w:spacing w:line="360" w:lineRule="auto"/>
        <w:ind w:firstLine="600"/>
        <w:jc w:val="left"/>
        <w:rPr>
          <w:rFonts w:ascii="宋体" w:hAnsi="宋体" w:cs="仿宋"/>
          <w:sz w:val="24"/>
          <w:szCs w:val="24"/>
          <w:u w:val="single"/>
        </w:rPr>
      </w:pPr>
      <w:r>
        <w:rPr>
          <w:rFonts w:hint="eastAsia" w:ascii="宋体" w:hAnsi="宋体" w:cs="仿宋"/>
          <w:sz w:val="24"/>
          <w:szCs w:val="24"/>
        </w:rPr>
        <w:t>2.项目最高限价：（</w:t>
      </w:r>
      <w:r>
        <w:rPr>
          <w:rFonts w:hint="eastAsia" w:ascii="宋体" w:hAnsi="宋体" w:cs="仿宋"/>
          <w:sz w:val="24"/>
          <w:szCs w:val="24"/>
          <w:lang w:val="en-US" w:eastAsia="zh-CN"/>
        </w:rPr>
        <w:t>¥</w:t>
      </w:r>
      <w:r>
        <w:rPr>
          <w:rFonts w:hint="eastAsia" w:ascii="宋体" w:hAnsi="宋体" w:cs="仿宋"/>
          <w:sz w:val="24"/>
          <w:szCs w:val="24"/>
        </w:rPr>
        <w:t>）</w:t>
      </w:r>
      <w:r>
        <w:rPr>
          <w:rFonts w:hint="eastAsia" w:ascii="宋体" w:hAnsi="宋体" w:cs="仿宋"/>
          <w:sz w:val="24"/>
          <w:szCs w:val="24"/>
          <w:u w:val="single"/>
          <w:lang w:val="en-US" w:eastAsia="zh-CN"/>
        </w:rPr>
        <w:t>捌</w:t>
      </w:r>
      <w:r>
        <w:rPr>
          <w:rFonts w:hint="eastAsia" w:ascii="宋体" w:hAnsi="宋体" w:cs="仿宋"/>
          <w:sz w:val="24"/>
          <w:szCs w:val="24"/>
          <w:u w:val="single"/>
        </w:rPr>
        <w:t>拾</w:t>
      </w:r>
      <w:r>
        <w:rPr>
          <w:rFonts w:hint="eastAsia" w:ascii="宋体" w:hAnsi="宋体" w:cs="仿宋"/>
          <w:sz w:val="24"/>
          <w:szCs w:val="24"/>
          <w:u w:val="single"/>
          <w:lang w:val="en-US" w:eastAsia="zh-CN"/>
        </w:rPr>
        <w:t>陆</w:t>
      </w:r>
      <w:r>
        <w:rPr>
          <w:rFonts w:hint="eastAsia" w:ascii="宋体" w:hAnsi="宋体" w:cs="仿宋"/>
          <w:sz w:val="24"/>
          <w:szCs w:val="24"/>
          <w:u w:val="single"/>
        </w:rPr>
        <w:t>万</w:t>
      </w:r>
      <w:r>
        <w:rPr>
          <w:rFonts w:hint="eastAsia" w:ascii="宋体" w:hAnsi="宋体" w:cs="仿宋"/>
          <w:sz w:val="24"/>
          <w:szCs w:val="24"/>
          <w:u w:val="single"/>
          <w:lang w:val="en-US" w:eastAsia="zh-CN"/>
        </w:rPr>
        <w:t>陆仟伍佰</w:t>
      </w:r>
      <w:r>
        <w:rPr>
          <w:rFonts w:hint="eastAsia" w:ascii="宋体" w:hAnsi="宋体" w:cs="仿宋"/>
          <w:sz w:val="24"/>
          <w:szCs w:val="24"/>
          <w:u w:val="single"/>
        </w:rPr>
        <w:t>元整</w:t>
      </w:r>
      <w:r>
        <w:rPr>
          <w:rFonts w:hint="eastAsia" w:ascii="宋体" w:hAnsi="宋体" w:cs="仿宋"/>
          <w:sz w:val="24"/>
          <w:szCs w:val="24"/>
        </w:rPr>
        <w:t>，</w:t>
      </w:r>
      <w:r>
        <w:rPr>
          <w:rFonts w:hint="eastAsia" w:ascii="宋体" w:hAnsi="宋体" w:cs="仿宋"/>
          <w:sz w:val="24"/>
          <w:szCs w:val="24"/>
          <w:u w:val="single"/>
          <w:lang w:val="en-US" w:eastAsia="zh-CN"/>
        </w:rPr>
        <w:t>866500元</w:t>
      </w:r>
    </w:p>
    <w:p w14:paraId="3D2069A4">
      <w:pPr>
        <w:pStyle w:val="13"/>
        <w:spacing w:afterLines="50" w:line="360" w:lineRule="auto"/>
        <w:ind w:firstLine="482"/>
        <w:rPr>
          <w:sz w:val="24"/>
          <w:szCs w:val="24"/>
        </w:rPr>
      </w:pPr>
      <w:bookmarkStart w:id="1" w:name="_Toc23746"/>
      <w:r>
        <w:rPr>
          <w:rFonts w:hint="eastAsia" w:ascii="宋体" w:hAnsi="宋体"/>
          <w:b/>
          <w:bCs/>
          <w:sz w:val="24"/>
          <w:szCs w:val="24"/>
        </w:rPr>
        <w:t>（二）开展采购活动的时间安排</w:t>
      </w:r>
      <w:bookmarkEnd w:id="1"/>
    </w:p>
    <w:tbl>
      <w:tblPr>
        <w:tblStyle w:val="10"/>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3827"/>
        <w:gridCol w:w="3262"/>
      </w:tblGrid>
      <w:tr w14:paraId="5666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70A80D45">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序号</w:t>
            </w:r>
          </w:p>
        </w:tc>
        <w:tc>
          <w:tcPr>
            <w:tcW w:w="2337" w:type="pct"/>
            <w:noWrap/>
            <w:vAlign w:val="top"/>
          </w:tcPr>
          <w:p w14:paraId="58266FAE">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事项</w:t>
            </w:r>
          </w:p>
        </w:tc>
        <w:tc>
          <w:tcPr>
            <w:tcW w:w="1991" w:type="pct"/>
            <w:noWrap/>
            <w:vAlign w:val="top"/>
          </w:tcPr>
          <w:p w14:paraId="7C44BB13">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时间安排</w:t>
            </w:r>
          </w:p>
        </w:tc>
      </w:tr>
      <w:tr w14:paraId="5329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570BE089">
            <w:pPr>
              <w:pStyle w:val="14"/>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513B9375">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政府采购意向公开</w:t>
            </w:r>
          </w:p>
        </w:tc>
        <w:tc>
          <w:tcPr>
            <w:tcW w:w="1991" w:type="pct"/>
            <w:noWrap/>
            <w:vAlign w:val="top"/>
          </w:tcPr>
          <w:p w14:paraId="4BD2556E">
            <w:pPr>
              <w:tabs>
                <w:tab w:val="left" w:pos="864"/>
              </w:tabs>
              <w:spacing w:line="360" w:lineRule="auto"/>
              <w:jc w:val="center"/>
              <w:rPr>
                <w:rFonts w:hint="eastAsia" w:ascii="宋体" w:hAnsi="宋体" w:eastAsia="宋体"/>
                <w:b w:val="0"/>
                <w:bCs w:val="0"/>
                <w:color w:val="auto"/>
                <w:kern w:val="0"/>
                <w:sz w:val="24"/>
                <w:szCs w:val="24"/>
                <w:lang w:val="en-US" w:eastAsia="zh-CN"/>
              </w:rPr>
            </w:pPr>
            <w:r>
              <w:rPr>
                <w:rFonts w:hint="eastAsia" w:ascii="宋体" w:hAnsi="宋体"/>
                <w:b w:val="0"/>
                <w:bCs w:val="0"/>
                <w:color w:val="auto"/>
                <w:kern w:val="0"/>
                <w:sz w:val="24"/>
                <w:szCs w:val="24"/>
                <w:lang w:val="en-US" w:eastAsia="zh-CN"/>
              </w:rPr>
              <w:t>-</w:t>
            </w:r>
          </w:p>
        </w:tc>
      </w:tr>
      <w:tr w14:paraId="7A8C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6A92BED7">
            <w:pPr>
              <w:pStyle w:val="14"/>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0BA28D9C">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政府采购计划申报</w:t>
            </w:r>
          </w:p>
        </w:tc>
        <w:tc>
          <w:tcPr>
            <w:tcW w:w="1991" w:type="pct"/>
            <w:noWrap/>
            <w:vAlign w:val="top"/>
          </w:tcPr>
          <w:p w14:paraId="55AA2AEC">
            <w:pPr>
              <w:tabs>
                <w:tab w:val="left" w:pos="864"/>
              </w:tabs>
              <w:spacing w:line="360" w:lineRule="auto"/>
              <w:jc w:val="center"/>
              <w:rPr>
                <w:rFonts w:hint="default" w:ascii="宋体" w:hAnsi="宋体" w:eastAsia="宋体"/>
                <w:b w:val="0"/>
                <w:bCs w:val="0"/>
                <w:color w:val="auto"/>
                <w:kern w:val="0"/>
                <w:sz w:val="24"/>
                <w:szCs w:val="24"/>
                <w:lang w:val="en-US" w:eastAsia="zh-CN"/>
              </w:rPr>
            </w:pPr>
            <w:r>
              <w:rPr>
                <w:rFonts w:hint="eastAsia" w:ascii="宋体" w:hAnsi="宋体"/>
                <w:b w:val="0"/>
                <w:bCs w:val="0"/>
                <w:color w:val="auto"/>
                <w:kern w:val="0"/>
                <w:sz w:val="24"/>
                <w:szCs w:val="24"/>
                <w:lang w:val="en-US" w:eastAsia="zh-CN"/>
              </w:rPr>
              <w:t>2024年4月</w:t>
            </w:r>
          </w:p>
        </w:tc>
      </w:tr>
      <w:tr w14:paraId="63AA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6BDB1F54">
            <w:pPr>
              <w:pStyle w:val="14"/>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582BB366">
            <w:pPr>
              <w:tabs>
                <w:tab w:val="left" w:pos="864"/>
              </w:tabs>
              <w:spacing w:line="360" w:lineRule="auto"/>
              <w:jc w:val="center"/>
              <w:rPr>
                <w:rFonts w:ascii="宋体" w:hAnsi="宋体"/>
                <w:kern w:val="0"/>
                <w:sz w:val="24"/>
                <w:szCs w:val="24"/>
              </w:rPr>
            </w:pPr>
            <w:r>
              <w:rPr>
                <w:rFonts w:hint="eastAsia" w:ascii="宋体" w:hAnsi="宋体"/>
                <w:kern w:val="0"/>
                <w:sz w:val="24"/>
                <w:szCs w:val="24"/>
              </w:rPr>
              <w:t>办理项目备案（如有）</w:t>
            </w:r>
          </w:p>
        </w:tc>
        <w:tc>
          <w:tcPr>
            <w:tcW w:w="1991" w:type="pct"/>
            <w:noWrap/>
            <w:vAlign w:val="top"/>
          </w:tcPr>
          <w:p w14:paraId="6BE4105B">
            <w:pPr>
              <w:tabs>
                <w:tab w:val="left" w:pos="864"/>
              </w:tabs>
              <w:spacing w:line="360" w:lineRule="auto"/>
              <w:jc w:val="center"/>
              <w:rPr>
                <w:rFonts w:ascii="宋体" w:hAnsi="宋体"/>
                <w:b w:val="0"/>
                <w:bCs w:val="0"/>
                <w:color w:val="auto"/>
                <w:kern w:val="0"/>
                <w:sz w:val="24"/>
                <w:szCs w:val="24"/>
              </w:rPr>
            </w:pPr>
          </w:p>
        </w:tc>
      </w:tr>
      <w:tr w14:paraId="441E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7BDD2B20">
            <w:pPr>
              <w:pStyle w:val="14"/>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2507A758">
            <w:pPr>
              <w:tabs>
                <w:tab w:val="left" w:pos="864"/>
              </w:tabs>
              <w:spacing w:line="360" w:lineRule="auto"/>
              <w:jc w:val="center"/>
              <w:rPr>
                <w:rFonts w:ascii="宋体" w:hAnsi="宋体"/>
                <w:kern w:val="0"/>
                <w:sz w:val="24"/>
                <w:szCs w:val="24"/>
              </w:rPr>
            </w:pPr>
            <w:r>
              <w:rPr>
                <w:rFonts w:hint="eastAsia" w:ascii="宋体" w:hAnsi="宋体"/>
                <w:kern w:val="0"/>
                <w:sz w:val="24"/>
                <w:szCs w:val="24"/>
              </w:rPr>
              <w:t>编制采购/招标文件</w:t>
            </w:r>
          </w:p>
        </w:tc>
        <w:tc>
          <w:tcPr>
            <w:tcW w:w="3261" w:type="dxa"/>
            <w:noWrap/>
            <w:vAlign w:val="top"/>
          </w:tcPr>
          <w:p w14:paraId="7BEFFD83">
            <w:pPr>
              <w:tabs>
                <w:tab w:val="left" w:pos="864"/>
              </w:tabs>
              <w:spacing w:line="360" w:lineRule="auto"/>
              <w:jc w:val="center"/>
              <w:rPr>
                <w:rFonts w:hint="default" w:ascii="宋体" w:hAnsi="宋体" w:eastAsia="宋体"/>
                <w:b w:val="0"/>
                <w:bCs w:val="0"/>
                <w:color w:val="auto"/>
                <w:kern w:val="0"/>
                <w:sz w:val="24"/>
                <w:szCs w:val="24"/>
                <w:lang w:val="en-US" w:eastAsia="zh-CN"/>
              </w:rPr>
            </w:pPr>
            <w:r>
              <w:rPr>
                <w:rFonts w:hint="eastAsia" w:ascii="宋体" w:hAnsi="宋体"/>
                <w:b w:val="0"/>
                <w:bCs w:val="0"/>
                <w:color w:val="auto"/>
                <w:kern w:val="0"/>
                <w:sz w:val="24"/>
                <w:szCs w:val="24"/>
                <w:lang w:val="en-US" w:eastAsia="zh-CN"/>
              </w:rPr>
              <w:t>2024年10月</w:t>
            </w:r>
          </w:p>
        </w:tc>
      </w:tr>
      <w:tr w14:paraId="49E6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2204663D">
            <w:pPr>
              <w:pStyle w:val="14"/>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44AA4E96">
            <w:pPr>
              <w:tabs>
                <w:tab w:val="left" w:pos="864"/>
              </w:tabs>
              <w:spacing w:line="360" w:lineRule="auto"/>
              <w:jc w:val="center"/>
              <w:rPr>
                <w:rFonts w:ascii="宋体" w:hAnsi="宋体"/>
                <w:kern w:val="0"/>
                <w:sz w:val="24"/>
                <w:szCs w:val="24"/>
              </w:rPr>
            </w:pPr>
            <w:r>
              <w:rPr>
                <w:rFonts w:hint="eastAsia" w:ascii="宋体" w:hAnsi="宋体"/>
                <w:kern w:val="0"/>
                <w:sz w:val="24"/>
                <w:szCs w:val="24"/>
              </w:rPr>
              <w:t>发布采购/招标公告</w:t>
            </w:r>
          </w:p>
        </w:tc>
        <w:tc>
          <w:tcPr>
            <w:tcW w:w="3261" w:type="dxa"/>
            <w:noWrap/>
            <w:vAlign w:val="top"/>
          </w:tcPr>
          <w:p w14:paraId="2F0D2810">
            <w:pPr>
              <w:tabs>
                <w:tab w:val="left" w:pos="864"/>
              </w:tabs>
              <w:spacing w:line="360" w:lineRule="auto"/>
              <w:jc w:val="center"/>
              <w:rPr>
                <w:rFonts w:hint="default" w:ascii="宋体" w:hAnsi="宋体" w:eastAsia="宋体"/>
                <w:b w:val="0"/>
                <w:bCs w:val="0"/>
                <w:color w:val="auto"/>
                <w:kern w:val="0"/>
                <w:sz w:val="24"/>
                <w:szCs w:val="24"/>
                <w:lang w:val="en-US" w:eastAsia="zh-CN"/>
              </w:rPr>
            </w:pPr>
            <w:r>
              <w:rPr>
                <w:rFonts w:hint="eastAsia" w:ascii="宋体" w:hAnsi="宋体"/>
                <w:b w:val="0"/>
                <w:bCs w:val="0"/>
                <w:color w:val="auto"/>
                <w:kern w:val="0"/>
                <w:sz w:val="24"/>
                <w:szCs w:val="24"/>
                <w:lang w:val="en-US" w:eastAsia="zh-CN"/>
              </w:rPr>
              <w:t>2024年11月</w:t>
            </w:r>
          </w:p>
        </w:tc>
      </w:tr>
      <w:tr w14:paraId="0617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69558A7F">
            <w:pPr>
              <w:pStyle w:val="14"/>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35ED47F8">
            <w:pPr>
              <w:tabs>
                <w:tab w:val="left" w:pos="864"/>
              </w:tabs>
              <w:spacing w:line="360" w:lineRule="auto"/>
              <w:jc w:val="center"/>
              <w:rPr>
                <w:rFonts w:ascii="宋体" w:hAnsi="宋体"/>
                <w:kern w:val="0"/>
                <w:sz w:val="24"/>
                <w:szCs w:val="24"/>
              </w:rPr>
            </w:pPr>
            <w:r>
              <w:rPr>
                <w:rFonts w:hint="eastAsia" w:ascii="宋体" w:hAnsi="宋体"/>
                <w:kern w:val="0"/>
                <w:sz w:val="24"/>
                <w:szCs w:val="24"/>
              </w:rPr>
              <w:t>项目评审/开标、评标</w:t>
            </w:r>
          </w:p>
        </w:tc>
        <w:tc>
          <w:tcPr>
            <w:tcW w:w="3261" w:type="dxa"/>
            <w:noWrap/>
            <w:vAlign w:val="top"/>
          </w:tcPr>
          <w:p w14:paraId="248AD01D">
            <w:pPr>
              <w:spacing w:line="360" w:lineRule="auto"/>
              <w:jc w:val="center"/>
              <w:rPr>
                <w:rFonts w:ascii="宋体" w:hAnsi="宋体"/>
                <w:b w:val="0"/>
                <w:bCs w:val="0"/>
                <w:color w:val="auto"/>
                <w:kern w:val="0"/>
                <w:sz w:val="24"/>
                <w:szCs w:val="24"/>
              </w:rPr>
            </w:pPr>
            <w:r>
              <w:rPr>
                <w:rFonts w:hint="eastAsia" w:ascii="宋体" w:hAnsi="宋体"/>
                <w:b w:val="0"/>
                <w:bCs w:val="0"/>
                <w:color w:val="auto"/>
                <w:kern w:val="0"/>
                <w:sz w:val="24"/>
                <w:szCs w:val="24"/>
                <w:lang w:val="en-US" w:eastAsia="zh-CN"/>
              </w:rPr>
              <w:t>2024年11月</w:t>
            </w:r>
          </w:p>
        </w:tc>
      </w:tr>
      <w:tr w14:paraId="4212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ign w:val="top"/>
          </w:tcPr>
          <w:p w14:paraId="5474D01A">
            <w:pPr>
              <w:pStyle w:val="14"/>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57E88236">
            <w:pPr>
              <w:tabs>
                <w:tab w:val="left" w:pos="864"/>
              </w:tabs>
              <w:spacing w:line="360" w:lineRule="auto"/>
              <w:jc w:val="center"/>
              <w:rPr>
                <w:rFonts w:ascii="宋体" w:hAnsi="宋体"/>
                <w:kern w:val="0"/>
                <w:sz w:val="24"/>
                <w:szCs w:val="24"/>
              </w:rPr>
            </w:pPr>
            <w:r>
              <w:rPr>
                <w:rFonts w:hint="eastAsia" w:ascii="宋体" w:hAnsi="宋体"/>
                <w:kern w:val="0"/>
                <w:sz w:val="24"/>
                <w:szCs w:val="24"/>
              </w:rPr>
              <w:t>发布成交/中标公告</w:t>
            </w:r>
          </w:p>
        </w:tc>
        <w:tc>
          <w:tcPr>
            <w:tcW w:w="3261" w:type="dxa"/>
            <w:noWrap/>
            <w:vAlign w:val="top"/>
          </w:tcPr>
          <w:p w14:paraId="2196D311">
            <w:pPr>
              <w:spacing w:line="360" w:lineRule="auto"/>
              <w:jc w:val="center"/>
              <w:rPr>
                <w:rFonts w:ascii="宋体" w:hAnsi="宋体"/>
                <w:b w:val="0"/>
                <w:bCs w:val="0"/>
                <w:color w:val="auto"/>
                <w:kern w:val="0"/>
                <w:sz w:val="24"/>
                <w:szCs w:val="24"/>
              </w:rPr>
            </w:pPr>
            <w:r>
              <w:rPr>
                <w:rFonts w:hint="eastAsia" w:ascii="宋体" w:hAnsi="宋体"/>
                <w:b w:val="0"/>
                <w:bCs w:val="0"/>
                <w:color w:val="auto"/>
                <w:kern w:val="0"/>
                <w:sz w:val="24"/>
                <w:szCs w:val="24"/>
                <w:lang w:val="en-US" w:eastAsia="zh-CN"/>
              </w:rPr>
              <w:t>2024年11月</w:t>
            </w:r>
          </w:p>
        </w:tc>
      </w:tr>
      <w:tr w14:paraId="36B9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72" w:type="pct"/>
            <w:noWrap/>
            <w:vAlign w:val="top"/>
          </w:tcPr>
          <w:p w14:paraId="5C33067A">
            <w:pPr>
              <w:pStyle w:val="14"/>
              <w:numPr>
                <w:ilvl w:val="0"/>
                <w:numId w:val="2"/>
              </w:numPr>
              <w:tabs>
                <w:tab w:val="left" w:pos="864"/>
              </w:tabs>
              <w:spacing w:line="360" w:lineRule="auto"/>
              <w:ind w:firstLineChars="0"/>
              <w:jc w:val="center"/>
              <w:rPr>
                <w:rFonts w:ascii="宋体" w:hAnsi="宋体"/>
                <w:kern w:val="0"/>
                <w:sz w:val="24"/>
                <w:szCs w:val="24"/>
              </w:rPr>
            </w:pPr>
          </w:p>
        </w:tc>
        <w:tc>
          <w:tcPr>
            <w:tcW w:w="2337" w:type="pct"/>
            <w:noWrap/>
            <w:vAlign w:val="top"/>
          </w:tcPr>
          <w:p w14:paraId="2804CB69">
            <w:pPr>
              <w:tabs>
                <w:tab w:val="left" w:pos="864"/>
              </w:tabs>
              <w:spacing w:line="360" w:lineRule="auto"/>
              <w:jc w:val="center"/>
              <w:rPr>
                <w:rFonts w:ascii="宋体" w:hAnsi="宋体"/>
                <w:kern w:val="0"/>
                <w:sz w:val="24"/>
                <w:szCs w:val="24"/>
              </w:rPr>
            </w:pPr>
            <w:r>
              <w:rPr>
                <w:rFonts w:hint="eastAsia" w:ascii="宋体" w:hAnsi="宋体"/>
                <w:kern w:val="0"/>
                <w:sz w:val="24"/>
                <w:szCs w:val="24"/>
              </w:rPr>
              <w:t>签订采购合同</w:t>
            </w:r>
          </w:p>
        </w:tc>
        <w:tc>
          <w:tcPr>
            <w:tcW w:w="3261" w:type="dxa"/>
            <w:noWrap/>
            <w:vAlign w:val="top"/>
          </w:tcPr>
          <w:p w14:paraId="47E68EB6">
            <w:pPr>
              <w:spacing w:line="360" w:lineRule="auto"/>
              <w:jc w:val="center"/>
              <w:rPr>
                <w:rFonts w:ascii="宋体" w:hAnsi="宋体"/>
                <w:b w:val="0"/>
                <w:bCs w:val="0"/>
                <w:color w:val="auto"/>
                <w:kern w:val="0"/>
                <w:sz w:val="24"/>
                <w:szCs w:val="24"/>
              </w:rPr>
            </w:pPr>
            <w:r>
              <w:rPr>
                <w:rFonts w:hint="eastAsia" w:ascii="宋体" w:hAnsi="宋体"/>
                <w:b w:val="0"/>
                <w:bCs w:val="0"/>
                <w:color w:val="auto"/>
                <w:kern w:val="0"/>
                <w:sz w:val="24"/>
                <w:szCs w:val="24"/>
                <w:lang w:val="en-US" w:eastAsia="zh-CN"/>
              </w:rPr>
              <w:t>2024年12月</w:t>
            </w:r>
          </w:p>
        </w:tc>
      </w:tr>
    </w:tbl>
    <w:p w14:paraId="163B9EEC">
      <w:pPr>
        <w:pStyle w:val="13"/>
        <w:spacing w:line="360" w:lineRule="auto"/>
        <w:ind w:firstLine="482"/>
        <w:rPr>
          <w:rFonts w:ascii="宋体" w:hAnsi="宋体"/>
          <w:b/>
          <w:bCs/>
          <w:sz w:val="24"/>
          <w:szCs w:val="24"/>
        </w:rPr>
      </w:pPr>
      <w:bookmarkStart w:id="2" w:name="_Toc17074"/>
      <w:r>
        <w:rPr>
          <w:rFonts w:hint="eastAsia" w:ascii="宋体" w:hAnsi="宋体"/>
          <w:b/>
          <w:bCs/>
          <w:sz w:val="24"/>
          <w:szCs w:val="24"/>
        </w:rPr>
        <w:t>（三）采购组织形式和委托代理安排</w:t>
      </w:r>
      <w:bookmarkEnd w:id="2"/>
    </w:p>
    <w:p w14:paraId="731D29A6">
      <w:pPr>
        <w:widowControl/>
        <w:spacing w:line="360" w:lineRule="auto"/>
        <w:ind w:firstLine="600"/>
        <w:jc w:val="left"/>
        <w:rPr>
          <w:rFonts w:ascii="宋体" w:hAnsi="宋体" w:cs="仿宋"/>
          <w:sz w:val="24"/>
          <w:szCs w:val="24"/>
        </w:rPr>
      </w:pPr>
      <w:r>
        <w:rPr>
          <w:rFonts w:hint="eastAsia" w:ascii="宋体" w:hAnsi="宋体" w:cs="仿宋"/>
          <w:sz w:val="24"/>
          <w:szCs w:val="24"/>
        </w:rPr>
        <w:t>1</w:t>
      </w:r>
      <w:r>
        <w:rPr>
          <w:rFonts w:ascii="宋体" w:hAnsi="宋体" w:cs="仿宋"/>
          <w:sz w:val="24"/>
          <w:szCs w:val="24"/>
        </w:rPr>
        <w:t>.</w:t>
      </w:r>
      <w:r>
        <w:rPr>
          <w:rFonts w:hint="eastAsia" w:ascii="宋体" w:hAnsi="宋体" w:cs="仿宋"/>
          <w:sz w:val="24"/>
          <w:szCs w:val="24"/>
        </w:rPr>
        <w:t>采购组织形式</w:t>
      </w:r>
    </w:p>
    <w:p w14:paraId="752AB646">
      <w:pPr>
        <w:widowControl/>
        <w:spacing w:line="360" w:lineRule="auto"/>
        <w:ind w:firstLine="600"/>
        <w:jc w:val="left"/>
        <w:rPr>
          <w:rFonts w:ascii="宋体" w:hAnsi="宋体" w:cs="仿宋"/>
          <w:sz w:val="24"/>
          <w:szCs w:val="24"/>
        </w:rPr>
      </w:pPr>
      <w:r>
        <w:rPr>
          <w:rFonts w:hint="eastAsia" w:ascii="宋体" w:hAnsi="宋体" w:cs="仿宋"/>
          <w:sz w:val="24"/>
          <w:szCs w:val="24"/>
        </w:rPr>
        <w:t>□自行采购</w:t>
      </w:r>
    </w:p>
    <w:p w14:paraId="30C1452A">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委托代理公司采购</w:t>
      </w:r>
    </w:p>
    <w:p w14:paraId="7986B12D">
      <w:pPr>
        <w:widowControl/>
        <w:spacing w:line="360" w:lineRule="auto"/>
        <w:ind w:firstLine="600"/>
        <w:jc w:val="left"/>
        <w:rPr>
          <w:rFonts w:ascii="宋体" w:hAnsi="宋体" w:cs="仿宋"/>
          <w:sz w:val="24"/>
          <w:szCs w:val="24"/>
        </w:rPr>
      </w:pPr>
      <w:r>
        <w:rPr>
          <w:rFonts w:hint="eastAsia" w:ascii="宋体" w:hAnsi="宋体" w:cs="仿宋"/>
          <w:sz w:val="24"/>
          <w:szCs w:val="24"/>
        </w:rPr>
        <w:t>2</w:t>
      </w:r>
      <w:r>
        <w:rPr>
          <w:rFonts w:ascii="宋体" w:hAnsi="宋体" w:cs="仿宋"/>
          <w:sz w:val="24"/>
          <w:szCs w:val="24"/>
        </w:rPr>
        <w:t>.</w:t>
      </w:r>
      <w:r>
        <w:rPr>
          <w:rFonts w:hint="eastAsia" w:ascii="宋体" w:hAnsi="宋体" w:cs="仿宋"/>
          <w:sz w:val="24"/>
          <w:szCs w:val="24"/>
        </w:rPr>
        <w:t>委托代理安排：委托代理采购</w:t>
      </w:r>
    </w:p>
    <w:p w14:paraId="7CA08299">
      <w:pPr>
        <w:widowControl/>
        <w:spacing w:line="360" w:lineRule="auto"/>
        <w:ind w:firstLine="600"/>
        <w:jc w:val="left"/>
        <w:rPr>
          <w:rFonts w:ascii="宋体" w:hAnsi="宋体" w:cs="仿宋"/>
          <w:sz w:val="24"/>
          <w:szCs w:val="24"/>
        </w:rPr>
      </w:pPr>
      <w:r>
        <w:rPr>
          <w:rFonts w:ascii="宋体" w:hAnsi="宋体" w:cs="仿宋"/>
          <w:sz w:val="24"/>
          <w:szCs w:val="24"/>
        </w:rPr>
        <w:t>3.</w:t>
      </w:r>
      <w:r>
        <w:rPr>
          <w:rFonts w:hint="eastAsia" w:ascii="宋体" w:hAnsi="宋体" w:cs="仿宋"/>
          <w:sz w:val="24"/>
          <w:szCs w:val="24"/>
        </w:rPr>
        <w:t>采购信息发布媒体（可多选）：</w:t>
      </w:r>
    </w:p>
    <w:p w14:paraId="4CED534C">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lang w:val="en-US" w:eastAsia="zh-CN"/>
        </w:rPr>
        <w:t>湄洲湾职业技术学院后勤通告</w:t>
      </w:r>
      <w:r>
        <w:rPr>
          <w:rFonts w:hint="eastAsia" w:ascii="宋体" w:hAnsi="宋体" w:cs="仿宋"/>
          <w:sz w:val="24"/>
          <w:szCs w:val="24"/>
        </w:rPr>
        <w:t>主页</w:t>
      </w:r>
    </w:p>
    <w:p w14:paraId="7C4C4AF7">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中国政府采购网</w:t>
      </w:r>
    </w:p>
    <w:p w14:paraId="0979DB98">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福建</w:t>
      </w:r>
      <w:r>
        <w:rPr>
          <w:rFonts w:hint="eastAsia" w:ascii="宋体" w:hAnsi="宋体" w:cs="仿宋"/>
          <w:sz w:val="24"/>
          <w:szCs w:val="24"/>
        </w:rPr>
        <w:t>省公共资源交易中心网站</w:t>
      </w:r>
    </w:p>
    <w:p w14:paraId="05F268CE">
      <w:pPr>
        <w:widowControl/>
        <w:spacing w:line="360" w:lineRule="auto"/>
        <w:ind w:firstLine="600"/>
        <w:jc w:val="left"/>
        <w:rPr>
          <w:rFonts w:hint="eastAsia" w:ascii="宋体" w:hAnsi="宋体" w:cs="仿宋"/>
          <w:sz w:val="24"/>
          <w:szCs w:val="24"/>
        </w:rPr>
      </w:pPr>
      <w:r>
        <w:rPr>
          <w:rFonts w:hint="eastAsia" w:ascii="宋体" w:hAnsi="宋体" w:cs="仿宋"/>
          <w:sz w:val="24"/>
          <w:szCs w:val="24"/>
        </w:rPr>
        <w:t>□其他：</w:t>
      </w:r>
    </w:p>
    <w:p w14:paraId="18CD4FA4">
      <w:pPr>
        <w:rPr>
          <w:rFonts w:hint="eastAsia" w:ascii="宋体" w:hAnsi="宋体" w:cs="仿宋"/>
          <w:sz w:val="24"/>
          <w:szCs w:val="24"/>
        </w:rPr>
      </w:pPr>
      <w:r>
        <w:rPr>
          <w:rFonts w:hint="eastAsia" w:ascii="宋体" w:hAnsi="宋体" w:cs="仿宋"/>
          <w:sz w:val="24"/>
          <w:szCs w:val="24"/>
        </w:rPr>
        <w:br w:type="page"/>
      </w:r>
    </w:p>
    <w:p w14:paraId="5E4CDE79">
      <w:pPr>
        <w:pStyle w:val="13"/>
        <w:spacing w:line="360" w:lineRule="auto"/>
        <w:ind w:firstLine="482"/>
        <w:rPr>
          <w:rFonts w:hint="eastAsia" w:ascii="宋体" w:hAnsi="宋体"/>
          <w:b/>
          <w:bCs/>
          <w:sz w:val="24"/>
          <w:szCs w:val="24"/>
        </w:rPr>
        <w:sectPr>
          <w:pgSz w:w="11906" w:h="16838"/>
          <w:pgMar w:top="1440" w:right="1800" w:bottom="1440" w:left="1800" w:header="851" w:footer="992" w:gutter="0"/>
          <w:cols w:space="425" w:num="1"/>
          <w:docGrid w:type="lines" w:linePitch="312" w:charSpace="0"/>
        </w:sectPr>
      </w:pPr>
      <w:bookmarkStart w:id="3" w:name="_Toc32558"/>
    </w:p>
    <w:p w14:paraId="4291140D">
      <w:pPr>
        <w:pStyle w:val="13"/>
        <w:spacing w:line="360" w:lineRule="auto"/>
        <w:ind w:firstLine="482"/>
        <w:rPr>
          <w:rFonts w:ascii="宋体" w:hAnsi="宋体"/>
          <w:b/>
          <w:bCs/>
          <w:sz w:val="24"/>
          <w:szCs w:val="24"/>
        </w:rPr>
      </w:pPr>
      <w:r>
        <w:rPr>
          <w:rFonts w:hint="eastAsia" w:ascii="宋体" w:hAnsi="宋体"/>
          <w:b/>
          <w:bCs/>
          <w:sz w:val="24"/>
          <w:szCs w:val="24"/>
        </w:rPr>
        <w:t>（四）采购包划分与合同分包</w:t>
      </w:r>
      <w:bookmarkEnd w:id="3"/>
    </w:p>
    <w:p w14:paraId="50FE938D">
      <w:pPr>
        <w:widowControl/>
        <w:spacing w:line="360" w:lineRule="auto"/>
        <w:ind w:firstLine="600"/>
        <w:jc w:val="left"/>
        <w:rPr>
          <w:rFonts w:hint="eastAsia" w:ascii="宋体" w:hAnsi="宋体" w:cs="仿宋"/>
          <w:sz w:val="24"/>
          <w:szCs w:val="24"/>
        </w:rPr>
      </w:pPr>
      <w:r>
        <w:rPr>
          <w:rFonts w:hint="eastAsia" w:ascii="宋体" w:hAnsi="宋体" w:cs="仿宋"/>
          <w:sz w:val="24"/>
          <w:szCs w:val="24"/>
        </w:rPr>
        <w:t>标包一：</w:t>
      </w:r>
    </w:p>
    <w:tbl>
      <w:tblPr>
        <w:tblStyle w:val="9"/>
        <w:tblW w:w="10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80"/>
        <w:gridCol w:w="3806"/>
        <w:gridCol w:w="754"/>
        <w:gridCol w:w="735"/>
        <w:gridCol w:w="1320"/>
        <w:gridCol w:w="1252"/>
      </w:tblGrid>
      <w:tr w14:paraId="04B3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22" w:type="dxa"/>
            <w:vAlign w:val="center"/>
          </w:tcPr>
          <w:p w14:paraId="38D082B9">
            <w:pPr>
              <w:autoSpaceDE w:val="0"/>
              <w:autoSpaceDN w:val="0"/>
              <w:adjustRightInd w:val="0"/>
              <w:snapToGrid w:val="0"/>
              <w:spacing w:line="360" w:lineRule="auto"/>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序号</w:t>
            </w:r>
          </w:p>
        </w:tc>
        <w:tc>
          <w:tcPr>
            <w:tcW w:w="1380" w:type="dxa"/>
            <w:vAlign w:val="center"/>
          </w:tcPr>
          <w:p w14:paraId="1FAD359B">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名称</w:t>
            </w:r>
          </w:p>
        </w:tc>
        <w:tc>
          <w:tcPr>
            <w:tcW w:w="3806" w:type="dxa"/>
            <w:vAlign w:val="center"/>
          </w:tcPr>
          <w:p w14:paraId="1301AA15">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技术参数及功能要求</w:t>
            </w:r>
          </w:p>
        </w:tc>
        <w:tc>
          <w:tcPr>
            <w:tcW w:w="754" w:type="dxa"/>
            <w:vAlign w:val="center"/>
          </w:tcPr>
          <w:p w14:paraId="6CECB9CA">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数量</w:t>
            </w:r>
          </w:p>
        </w:tc>
        <w:tc>
          <w:tcPr>
            <w:tcW w:w="735" w:type="dxa"/>
            <w:vAlign w:val="center"/>
          </w:tcPr>
          <w:p w14:paraId="671FF6AC">
            <w:p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单位</w:t>
            </w:r>
          </w:p>
        </w:tc>
        <w:tc>
          <w:tcPr>
            <w:tcW w:w="1320" w:type="dxa"/>
            <w:vAlign w:val="center"/>
          </w:tcPr>
          <w:p w14:paraId="445D4928">
            <w:pPr>
              <w:autoSpaceDE w:val="0"/>
              <w:autoSpaceDN w:val="0"/>
              <w:adjustRightInd w:val="0"/>
              <w:snapToGrid w:val="0"/>
              <w:spacing w:line="220" w:lineRule="atLeast"/>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预算单价</w:t>
            </w:r>
          </w:p>
          <w:p w14:paraId="3DBD2B33">
            <w:pPr>
              <w:autoSpaceDE w:val="0"/>
              <w:autoSpaceDN w:val="0"/>
              <w:adjustRightInd w:val="0"/>
              <w:snapToGrid w:val="0"/>
              <w:spacing w:line="220" w:lineRule="atLeast"/>
              <w:jc w:val="center"/>
              <w:textAlignment w:val="center"/>
              <w:rPr>
                <w:rFonts w:hint="eastAsia" w:asciiTheme="majorEastAsia" w:hAnsiTheme="majorEastAsia" w:eastAsiaTheme="majorEastAsia" w:cstheme="majorEastAsia"/>
                <w:b w:val="0"/>
                <w:bCs w:val="0"/>
                <w:snapToGrid w:val="0"/>
                <w:color w:val="auto"/>
                <w:spacing w:val="-20"/>
                <w:kern w:val="0"/>
                <w:sz w:val="24"/>
                <w:szCs w:val="24"/>
              </w:rPr>
            </w:pPr>
            <w:r>
              <w:rPr>
                <w:rFonts w:hint="eastAsia" w:asciiTheme="majorEastAsia" w:hAnsiTheme="majorEastAsia" w:eastAsiaTheme="majorEastAsia" w:cstheme="majorEastAsia"/>
                <w:b w:val="0"/>
                <w:bCs w:val="0"/>
                <w:snapToGrid w:val="0"/>
                <w:color w:val="auto"/>
                <w:spacing w:val="-20"/>
                <w:kern w:val="0"/>
                <w:sz w:val="24"/>
                <w:szCs w:val="24"/>
              </w:rPr>
              <w:t>（元）</w:t>
            </w:r>
          </w:p>
        </w:tc>
        <w:tc>
          <w:tcPr>
            <w:tcW w:w="1252" w:type="dxa"/>
            <w:vAlign w:val="center"/>
          </w:tcPr>
          <w:p w14:paraId="6F77A354">
            <w:pPr>
              <w:autoSpaceDE w:val="0"/>
              <w:autoSpaceDN w:val="0"/>
              <w:adjustRightInd w:val="0"/>
              <w:snapToGrid w:val="0"/>
              <w:spacing w:line="220" w:lineRule="atLeast"/>
              <w:jc w:val="center"/>
              <w:textAlignment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预算金额</w:t>
            </w:r>
          </w:p>
          <w:p w14:paraId="02551F1F">
            <w:pPr>
              <w:autoSpaceDE w:val="0"/>
              <w:autoSpaceDN w:val="0"/>
              <w:adjustRightInd w:val="0"/>
              <w:snapToGrid w:val="0"/>
              <w:spacing w:line="220" w:lineRule="atLeast"/>
              <w:jc w:val="center"/>
              <w:textAlignment w:val="center"/>
              <w:rPr>
                <w:rFonts w:hint="eastAsia" w:asciiTheme="majorEastAsia" w:hAnsiTheme="majorEastAsia" w:eastAsiaTheme="majorEastAsia" w:cstheme="majorEastAsia"/>
                <w:b w:val="0"/>
                <w:bCs w:val="0"/>
                <w:color w:val="auto"/>
                <w:kern w:val="24"/>
                <w:sz w:val="24"/>
                <w:szCs w:val="24"/>
              </w:rPr>
            </w:pPr>
            <w:r>
              <w:rPr>
                <w:rFonts w:hint="eastAsia" w:asciiTheme="majorEastAsia" w:hAnsiTheme="majorEastAsia" w:eastAsiaTheme="majorEastAsia" w:cstheme="majorEastAsia"/>
                <w:b w:val="0"/>
                <w:bCs w:val="0"/>
                <w:snapToGrid w:val="0"/>
                <w:color w:val="auto"/>
                <w:spacing w:val="-20"/>
                <w:kern w:val="0"/>
                <w:sz w:val="24"/>
                <w:szCs w:val="24"/>
              </w:rPr>
              <w:t>（元）</w:t>
            </w:r>
          </w:p>
        </w:tc>
      </w:tr>
      <w:tr w14:paraId="356F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2" w:type="dxa"/>
            <w:vAlign w:val="center"/>
          </w:tcPr>
          <w:p w14:paraId="05883CE0">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7DFDE50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lang w:val="en-US" w:eastAsia="zh-CN"/>
              </w:rPr>
              <w:t>金属剪板</w:t>
            </w:r>
          </w:p>
        </w:tc>
        <w:tc>
          <w:tcPr>
            <w:tcW w:w="3806" w:type="dxa"/>
            <w:vAlign w:val="center"/>
          </w:tcPr>
          <w:p w14:paraId="6F514E5B">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1）手动闸片，精密研磨硬化刀片</w:t>
            </w:r>
          </w:p>
          <w:p w14:paraId="506716A1">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2）切割尺寸(mm)：厚≥2m，，</w:t>
            </w:r>
          </w:p>
          <w:p w14:paraId="1A9489E0">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3）操作杆尺寸：≥750mm；</w:t>
            </w:r>
          </w:p>
          <w:p w14:paraId="631AC20B">
            <w:pPr>
              <w:adjustRightInd w:val="0"/>
              <w:snapToGrid w:val="0"/>
              <w:jc w:val="left"/>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4）适合用铜、银、金、合金。</w:t>
            </w:r>
          </w:p>
        </w:tc>
        <w:tc>
          <w:tcPr>
            <w:tcW w:w="754" w:type="dxa"/>
            <w:vAlign w:val="center"/>
          </w:tcPr>
          <w:p w14:paraId="12BBB0F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3</w:t>
            </w:r>
          </w:p>
        </w:tc>
        <w:tc>
          <w:tcPr>
            <w:tcW w:w="735" w:type="dxa"/>
            <w:vAlign w:val="center"/>
          </w:tcPr>
          <w:p w14:paraId="50D0842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kern w:val="0"/>
                <w:sz w:val="24"/>
                <w:szCs w:val="24"/>
              </w:rPr>
              <w:t>台</w:t>
            </w:r>
          </w:p>
        </w:tc>
        <w:tc>
          <w:tcPr>
            <w:tcW w:w="1320" w:type="dxa"/>
            <w:vAlign w:val="center"/>
          </w:tcPr>
          <w:p w14:paraId="13B22D9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color w:val="000000"/>
                <w:sz w:val="24"/>
                <w:szCs w:val="24"/>
                <w:lang w:val="en-US" w:eastAsia="zh-CN"/>
              </w:rPr>
              <w:t>1000</w:t>
            </w:r>
          </w:p>
        </w:tc>
        <w:tc>
          <w:tcPr>
            <w:tcW w:w="1252" w:type="dxa"/>
            <w:vAlign w:val="center"/>
          </w:tcPr>
          <w:p w14:paraId="25BB2C3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color w:val="000000"/>
                <w:sz w:val="24"/>
                <w:szCs w:val="24"/>
                <w:lang w:val="en-US" w:eastAsia="zh-CN"/>
              </w:rPr>
              <w:t>3000</w:t>
            </w:r>
          </w:p>
        </w:tc>
      </w:tr>
      <w:tr w14:paraId="5F17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jc w:val="center"/>
        </w:trPr>
        <w:tc>
          <w:tcPr>
            <w:tcW w:w="822" w:type="dxa"/>
            <w:vAlign w:val="center"/>
          </w:tcPr>
          <w:p w14:paraId="47E34D8D">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1A499FA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lang w:val="en-US" w:eastAsia="zh-CN"/>
              </w:rPr>
              <w:t>激光打标机</w:t>
            </w:r>
          </w:p>
        </w:tc>
        <w:tc>
          <w:tcPr>
            <w:tcW w:w="3806" w:type="dxa"/>
            <w:shd w:val="clear" w:color="auto" w:fill="auto"/>
            <w:vAlign w:val="center"/>
          </w:tcPr>
          <w:p w14:paraId="2D888B4C">
            <w:pPr>
              <w:adjustRightInd w:val="0"/>
              <w:snapToGrid w:val="0"/>
              <w:jc w:val="left"/>
              <w:rPr>
                <w:rFonts w:hint="eastAsia" w:asciiTheme="majorEastAsia" w:hAnsiTheme="majorEastAsia" w:eastAsiaTheme="majorEastAsia" w:cstheme="majorEastAsia"/>
                <w:sz w:val="24"/>
                <w:szCs w:val="24"/>
                <w:lang w:val="en-US" w:eastAsia="zh-CN"/>
              </w:rPr>
            </w:pPr>
            <w:bookmarkStart w:id="4" w:name="OLE_LINK1"/>
            <w:r>
              <w:rPr>
                <w:rFonts w:hint="eastAsia" w:asciiTheme="majorEastAsia" w:hAnsiTheme="majorEastAsia" w:eastAsiaTheme="majorEastAsia" w:cstheme="majorEastAsia"/>
                <w:sz w:val="24"/>
                <w:szCs w:val="24"/>
                <w:lang w:val="en-US" w:eastAsia="zh-CN"/>
              </w:rPr>
              <w:t>1）激光功率：20W</w:t>
            </w:r>
          </w:p>
          <w:bookmarkEnd w:id="4"/>
          <w:p w14:paraId="131099FD">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2）打标范围：100/200 mm(可选)</w:t>
            </w:r>
          </w:p>
          <w:p w14:paraId="74700EE5">
            <w:pPr>
              <w:adjustRightInd w:val="0"/>
              <w:snapToGrid w:val="0"/>
              <w:jc w:val="left"/>
              <w:rPr>
                <w:rFonts w:hint="eastAsia" w:asciiTheme="majorEastAsia" w:hAnsiTheme="majorEastAsia" w:eastAsiaTheme="majorEastAsia" w:cstheme="majorEastAsia"/>
                <w:sz w:val="24"/>
                <w:szCs w:val="24"/>
                <w:lang w:val="en-US" w:eastAsia="zh-CN"/>
              </w:rPr>
            </w:pPr>
            <w:bookmarkStart w:id="5" w:name="OLE_LINK3"/>
            <w:r>
              <w:rPr>
                <w:rFonts w:hint="eastAsia" w:asciiTheme="majorEastAsia" w:hAnsiTheme="majorEastAsia" w:eastAsiaTheme="majorEastAsia" w:cstheme="majorEastAsia"/>
                <w:sz w:val="24"/>
                <w:szCs w:val="24"/>
                <w:lang w:val="en-US" w:eastAsia="zh-CN"/>
              </w:rPr>
              <w:t>3）</w:t>
            </w:r>
            <w:bookmarkEnd w:id="5"/>
            <w:bookmarkStart w:id="6" w:name="OLE_LINK2"/>
            <w:r>
              <w:rPr>
                <w:rFonts w:hint="eastAsia" w:asciiTheme="majorEastAsia" w:hAnsiTheme="majorEastAsia" w:eastAsiaTheme="majorEastAsia" w:cstheme="majorEastAsia"/>
                <w:sz w:val="24"/>
                <w:szCs w:val="24"/>
                <w:lang w:val="en-US" w:eastAsia="zh-CN"/>
              </w:rPr>
              <w:t>雕刻线速：0-4000 mm/s</w:t>
            </w:r>
            <w:bookmarkEnd w:id="6"/>
          </w:p>
          <w:p w14:paraId="234B7560">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4）对焦方式：双红光电动</w:t>
            </w:r>
          </w:p>
          <w:p w14:paraId="68B5DC67">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5）最小宇符：0.3mm</w:t>
            </w:r>
          </w:p>
          <w:p w14:paraId="0801766A">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6）使用环境：干净无尘或较少灰尘</w:t>
            </w:r>
          </w:p>
          <w:p w14:paraId="3EF83341">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i w:val="0"/>
                <w:iCs w:val="0"/>
                <w:color w:val="000000"/>
                <w:kern w:val="0"/>
                <w:sz w:val="24"/>
                <w:szCs w:val="24"/>
                <w:u w:val="none"/>
                <w:lang w:val="en-US" w:eastAsia="zh-CN" w:bidi="ar"/>
              </w:rPr>
              <w:t>采用WINDOWS视窗操作软件，直观易用。使用WORD就可以雕刻上想要的任意图形及文字</w:t>
            </w:r>
          </w:p>
          <w:p w14:paraId="09242449">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8）外形尺寸：≤39cm*36cm*55cm</w:t>
            </w:r>
          </w:p>
          <w:p w14:paraId="221EB7D1">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w:t>
            </w:r>
            <w:bookmarkStart w:id="7" w:name="OLE_LINK4"/>
            <w:r>
              <w:rPr>
                <w:rFonts w:hint="eastAsia" w:asciiTheme="majorEastAsia" w:hAnsiTheme="majorEastAsia" w:eastAsiaTheme="majorEastAsia" w:cstheme="majorEastAsia"/>
                <w:sz w:val="24"/>
                <w:szCs w:val="24"/>
                <w:lang w:val="en-US" w:eastAsia="zh-CN"/>
              </w:rPr>
              <w:t>）</w:t>
            </w:r>
            <w:bookmarkEnd w:id="7"/>
            <w:r>
              <w:rPr>
                <w:rFonts w:hint="eastAsia" w:asciiTheme="majorEastAsia" w:hAnsiTheme="majorEastAsia" w:eastAsiaTheme="majorEastAsia" w:cstheme="majorEastAsia"/>
                <w:i w:val="0"/>
                <w:iCs w:val="0"/>
                <w:color w:val="000000"/>
                <w:kern w:val="0"/>
                <w:sz w:val="24"/>
                <w:szCs w:val="24"/>
                <w:u w:val="none"/>
                <w:lang w:val="en-US" w:eastAsia="zh-CN" w:bidi="ar"/>
              </w:rPr>
              <w:t>激光智能定位。正式雕刻之前的红外线指示光可模拟运行并快速定位，排除雕刻错误</w:t>
            </w:r>
          </w:p>
          <w:p w14:paraId="4A3912C1">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10）</w:t>
            </w:r>
            <w:r>
              <w:rPr>
                <w:rFonts w:hint="eastAsia" w:asciiTheme="majorEastAsia" w:hAnsiTheme="majorEastAsia" w:eastAsiaTheme="majorEastAsia" w:cstheme="majorEastAsia"/>
                <w:i w:val="0"/>
                <w:iCs w:val="0"/>
                <w:color w:val="000000"/>
                <w:kern w:val="0"/>
                <w:sz w:val="24"/>
                <w:szCs w:val="24"/>
                <w:u w:val="none"/>
                <w:lang w:val="en-US" w:eastAsia="zh-CN" w:bidi="ar"/>
              </w:rPr>
              <w:t>结构小巧的珠宝激光雕刻机可以方便的放置在桌面上.</w:t>
            </w:r>
            <w:r>
              <w:rPr>
                <w:rFonts w:hint="eastAsia" w:asciiTheme="majorEastAsia" w:hAnsiTheme="majorEastAsia" w:eastAsiaTheme="majorEastAsia" w:cstheme="majorEastAsia"/>
                <w:i w:val="0"/>
                <w:iCs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u w:val="none"/>
                <w:lang w:val="en-US" w:eastAsia="zh-CN" w:bidi="ar"/>
              </w:rPr>
              <w:t>11</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i w:val="0"/>
                <w:iCs w:val="0"/>
                <w:color w:val="000000"/>
                <w:kern w:val="0"/>
                <w:sz w:val="24"/>
                <w:szCs w:val="24"/>
                <w:u w:val="none"/>
                <w:lang w:val="en-US" w:eastAsia="zh-CN" w:bidi="ar"/>
              </w:rPr>
              <w:t>该机型采用高速磁感电机构成的扫描系统对激光行走路线进行控制，具有精度高、速度快等优点</w:t>
            </w:r>
          </w:p>
        </w:tc>
        <w:tc>
          <w:tcPr>
            <w:tcW w:w="754" w:type="dxa"/>
            <w:vAlign w:val="center"/>
          </w:tcPr>
          <w:p w14:paraId="605A14A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kern w:val="0"/>
                <w:sz w:val="24"/>
                <w:szCs w:val="24"/>
                <w:lang w:val="en-US" w:eastAsia="zh-CN"/>
              </w:rPr>
              <w:t>1</w:t>
            </w:r>
          </w:p>
        </w:tc>
        <w:tc>
          <w:tcPr>
            <w:tcW w:w="735" w:type="dxa"/>
            <w:vAlign w:val="center"/>
          </w:tcPr>
          <w:p w14:paraId="140DAA2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kern w:val="0"/>
                <w:sz w:val="24"/>
                <w:szCs w:val="24"/>
                <w:lang w:val="en-US" w:eastAsia="zh-CN"/>
              </w:rPr>
              <w:t>台</w:t>
            </w:r>
          </w:p>
        </w:tc>
        <w:tc>
          <w:tcPr>
            <w:tcW w:w="1320" w:type="dxa"/>
            <w:vAlign w:val="center"/>
          </w:tcPr>
          <w:p w14:paraId="7372871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color w:val="000000"/>
                <w:sz w:val="24"/>
                <w:szCs w:val="24"/>
                <w:lang w:val="en-US" w:eastAsia="zh-CN"/>
              </w:rPr>
              <w:t>32000</w:t>
            </w:r>
          </w:p>
        </w:tc>
        <w:tc>
          <w:tcPr>
            <w:tcW w:w="1252" w:type="dxa"/>
            <w:vAlign w:val="center"/>
          </w:tcPr>
          <w:p w14:paraId="6125EF6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color w:val="000000"/>
                <w:sz w:val="24"/>
                <w:szCs w:val="24"/>
                <w:lang w:val="en-US" w:eastAsia="zh-CN"/>
              </w:rPr>
              <w:t>32000</w:t>
            </w:r>
          </w:p>
        </w:tc>
      </w:tr>
      <w:tr w14:paraId="2713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Align w:val="center"/>
          </w:tcPr>
          <w:p w14:paraId="16D9A64D">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6AE6C3C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kern w:val="0"/>
                <w:sz w:val="24"/>
                <w:szCs w:val="24"/>
              </w:rPr>
              <w:t>四面坑铁</w:t>
            </w:r>
          </w:p>
        </w:tc>
        <w:tc>
          <w:tcPr>
            <w:tcW w:w="3806" w:type="dxa"/>
            <w:shd w:val="clear" w:color="auto" w:fill="auto"/>
            <w:vAlign w:val="center"/>
          </w:tcPr>
          <w:p w14:paraId="106BB42E">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1）材质：优质钢铁</w:t>
            </w:r>
          </w:p>
          <w:p w14:paraId="2C7450BE">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2）尺寸：200*32*32mm</w:t>
            </w:r>
          </w:p>
          <w:p w14:paraId="09071F9B">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3）重量：≥1400g</w:t>
            </w:r>
          </w:p>
        </w:tc>
        <w:tc>
          <w:tcPr>
            <w:tcW w:w="754" w:type="dxa"/>
            <w:vAlign w:val="center"/>
          </w:tcPr>
          <w:p w14:paraId="1F225AC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kern w:val="0"/>
                <w:sz w:val="24"/>
                <w:szCs w:val="24"/>
              </w:rPr>
              <w:t>10</w:t>
            </w:r>
          </w:p>
        </w:tc>
        <w:tc>
          <w:tcPr>
            <w:tcW w:w="735" w:type="dxa"/>
            <w:vAlign w:val="center"/>
          </w:tcPr>
          <w:p w14:paraId="1D7A713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kern w:val="0"/>
                <w:sz w:val="24"/>
                <w:szCs w:val="24"/>
              </w:rPr>
              <w:t>条</w:t>
            </w:r>
          </w:p>
        </w:tc>
        <w:tc>
          <w:tcPr>
            <w:tcW w:w="1320" w:type="dxa"/>
            <w:vAlign w:val="center"/>
          </w:tcPr>
          <w:p w14:paraId="0EEE0B3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6</w:t>
            </w:r>
            <w:r>
              <w:rPr>
                <w:rFonts w:hint="eastAsia" w:asciiTheme="majorEastAsia" w:hAnsiTheme="majorEastAsia" w:eastAsiaTheme="majorEastAsia" w:cstheme="majorEastAsia"/>
                <w:color w:val="000000"/>
                <w:sz w:val="24"/>
                <w:szCs w:val="24"/>
              </w:rPr>
              <w:t>0</w:t>
            </w:r>
          </w:p>
        </w:tc>
        <w:tc>
          <w:tcPr>
            <w:tcW w:w="1252" w:type="dxa"/>
            <w:vAlign w:val="center"/>
          </w:tcPr>
          <w:p w14:paraId="3816FF5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6</w:t>
            </w:r>
            <w:r>
              <w:rPr>
                <w:rFonts w:hint="eastAsia" w:asciiTheme="majorEastAsia" w:hAnsiTheme="majorEastAsia" w:eastAsiaTheme="majorEastAsia" w:cstheme="majorEastAsia"/>
                <w:color w:val="000000"/>
                <w:sz w:val="24"/>
                <w:szCs w:val="24"/>
              </w:rPr>
              <w:t>00</w:t>
            </w:r>
          </w:p>
        </w:tc>
      </w:tr>
      <w:tr w14:paraId="67D1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822" w:type="dxa"/>
            <w:vAlign w:val="center"/>
          </w:tcPr>
          <w:p w14:paraId="0DAD9859">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1D7C9DD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FF0000"/>
                <w:kern w:val="2"/>
                <w:sz w:val="24"/>
                <w:szCs w:val="24"/>
                <w:vertAlign w:val="baseline"/>
                <w:lang w:val="en-US" w:eastAsia="zh-CN" w:bidi="ar-SA"/>
              </w:rPr>
            </w:pPr>
            <w:r>
              <w:rPr>
                <w:rFonts w:hint="eastAsia" w:asciiTheme="majorEastAsia" w:hAnsiTheme="majorEastAsia" w:eastAsiaTheme="majorEastAsia" w:cstheme="majorEastAsia"/>
                <w:kern w:val="0"/>
                <w:sz w:val="24"/>
                <w:szCs w:val="24"/>
              </w:rPr>
              <w:t>木桩</w:t>
            </w:r>
          </w:p>
        </w:tc>
        <w:tc>
          <w:tcPr>
            <w:tcW w:w="3806" w:type="dxa"/>
            <w:shd w:val="clear" w:color="auto" w:fill="auto"/>
            <w:vAlign w:val="center"/>
          </w:tcPr>
          <w:p w14:paraId="0D3BE257">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1）直径：≥400mm</w:t>
            </w:r>
          </w:p>
          <w:p w14:paraId="490E0957">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2）高度：≥700mm</w:t>
            </w:r>
          </w:p>
          <w:p w14:paraId="01FF54D0">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3）实木原木柱</w:t>
            </w:r>
          </w:p>
        </w:tc>
        <w:tc>
          <w:tcPr>
            <w:tcW w:w="754" w:type="dxa"/>
            <w:vAlign w:val="center"/>
          </w:tcPr>
          <w:p w14:paraId="589FA60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kern w:val="0"/>
                <w:sz w:val="24"/>
                <w:szCs w:val="24"/>
                <w:lang w:val="en-US" w:eastAsia="zh-CN"/>
              </w:rPr>
              <w:t>4</w:t>
            </w:r>
          </w:p>
        </w:tc>
        <w:tc>
          <w:tcPr>
            <w:tcW w:w="735" w:type="dxa"/>
            <w:vAlign w:val="center"/>
          </w:tcPr>
          <w:p w14:paraId="56CFB93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kern w:val="0"/>
                <w:sz w:val="24"/>
                <w:szCs w:val="24"/>
              </w:rPr>
              <w:t>个</w:t>
            </w:r>
          </w:p>
        </w:tc>
        <w:tc>
          <w:tcPr>
            <w:tcW w:w="1320" w:type="dxa"/>
            <w:vAlign w:val="center"/>
          </w:tcPr>
          <w:p w14:paraId="2721726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color w:val="000000"/>
                <w:sz w:val="24"/>
                <w:szCs w:val="24"/>
                <w:lang w:val="en-US" w:eastAsia="zh-CN"/>
              </w:rPr>
              <w:t>2000</w:t>
            </w:r>
          </w:p>
        </w:tc>
        <w:tc>
          <w:tcPr>
            <w:tcW w:w="1252" w:type="dxa"/>
            <w:vAlign w:val="center"/>
          </w:tcPr>
          <w:p w14:paraId="3C36A65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color w:val="000000"/>
                <w:sz w:val="24"/>
                <w:szCs w:val="24"/>
                <w:lang w:val="en-US" w:eastAsia="zh-CN"/>
              </w:rPr>
              <w:t>8000</w:t>
            </w:r>
          </w:p>
        </w:tc>
      </w:tr>
      <w:tr w14:paraId="15CF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22" w:type="dxa"/>
            <w:vAlign w:val="center"/>
          </w:tcPr>
          <w:p w14:paraId="5AEFC237">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1CBD173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rPr>
              <w:t>喷砂机</w:t>
            </w:r>
          </w:p>
        </w:tc>
        <w:tc>
          <w:tcPr>
            <w:tcW w:w="3806" w:type="dxa"/>
            <w:shd w:val="clear" w:color="auto" w:fill="auto"/>
            <w:vAlign w:val="center"/>
          </w:tcPr>
          <w:p w14:paraId="42794BE9">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1）额定电压：220V/50HZ</w:t>
            </w:r>
          </w:p>
          <w:p w14:paraId="32954E62">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2）额定功率：550W</w:t>
            </w:r>
          </w:p>
          <w:p w14:paraId="0A31F17B">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3）整机尺寸：600×475×1170mm</w:t>
            </w:r>
          </w:p>
          <w:p w14:paraId="12E3040E">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4）铁脚高度：≥680mm</w:t>
            </w:r>
          </w:p>
          <w:p w14:paraId="5241A73C">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5）气压：90-100Psi</w:t>
            </w:r>
          </w:p>
          <w:p w14:paraId="3A678282">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6）配有照明系统，雨刮清刷视窗功能，玻璃钢材制作外壳。配搅粉马达和搅粉风叶，配不锈钢脚架，出砂均匀，效率高</w:t>
            </w:r>
          </w:p>
          <w:p w14:paraId="269077CC">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7）配粗，中，细玻璃砂各10磅</w:t>
            </w:r>
          </w:p>
        </w:tc>
        <w:tc>
          <w:tcPr>
            <w:tcW w:w="754" w:type="dxa"/>
            <w:vAlign w:val="center"/>
          </w:tcPr>
          <w:p w14:paraId="144B4C6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kern w:val="0"/>
                <w:sz w:val="24"/>
                <w:szCs w:val="24"/>
              </w:rPr>
              <w:t>1</w:t>
            </w:r>
          </w:p>
        </w:tc>
        <w:tc>
          <w:tcPr>
            <w:tcW w:w="735" w:type="dxa"/>
            <w:vAlign w:val="center"/>
          </w:tcPr>
          <w:p w14:paraId="345A7A2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kern w:val="0"/>
                <w:sz w:val="24"/>
                <w:szCs w:val="24"/>
              </w:rPr>
              <w:t>台</w:t>
            </w:r>
          </w:p>
        </w:tc>
        <w:tc>
          <w:tcPr>
            <w:tcW w:w="1320" w:type="dxa"/>
            <w:vAlign w:val="center"/>
          </w:tcPr>
          <w:p w14:paraId="340438F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color w:val="000000"/>
                <w:sz w:val="24"/>
                <w:szCs w:val="24"/>
                <w:lang w:val="en-US" w:eastAsia="zh-CN"/>
              </w:rPr>
              <w:t>6500</w:t>
            </w:r>
          </w:p>
        </w:tc>
        <w:tc>
          <w:tcPr>
            <w:tcW w:w="1252" w:type="dxa"/>
            <w:vAlign w:val="center"/>
          </w:tcPr>
          <w:p w14:paraId="21D8689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color w:val="000000"/>
                <w:sz w:val="24"/>
                <w:szCs w:val="24"/>
                <w:lang w:val="en-US" w:eastAsia="zh-CN"/>
              </w:rPr>
              <w:t>6500</w:t>
            </w:r>
          </w:p>
        </w:tc>
      </w:tr>
      <w:tr w14:paraId="75BE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22" w:type="dxa"/>
            <w:vAlign w:val="center"/>
          </w:tcPr>
          <w:p w14:paraId="0E5D5581">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01E3479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lang w:val="en-US" w:eastAsia="zh-CN"/>
              </w:rPr>
              <w:t>微镶机</w:t>
            </w:r>
          </w:p>
        </w:tc>
        <w:tc>
          <w:tcPr>
            <w:tcW w:w="3806" w:type="dxa"/>
            <w:shd w:val="clear" w:color="auto" w:fill="auto"/>
            <w:vAlign w:val="center"/>
          </w:tcPr>
          <w:p w14:paraId="1B37B3EF">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用于微镶制作</w:t>
            </w:r>
          </w:p>
          <w:p w14:paraId="5BB24DF0">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1）连续变倍:7X~45X</w:t>
            </w:r>
          </w:p>
          <w:p w14:paraId="1937CCD8">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2）机器目镜:WF10X/20</w:t>
            </w:r>
          </w:p>
          <w:p w14:paraId="2125A5BB">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3）机器物镜:0.5X</w:t>
            </w:r>
          </w:p>
          <w:p w14:paraId="3235ECE1">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4）工作距离:≥160mm</w:t>
            </w:r>
          </w:p>
          <w:p w14:paraId="7FA4F150">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5）视场范围:5.1mm~3</w:t>
            </w:r>
          </w:p>
          <w:p w14:paraId="6E0B7058">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6）双目瞳距:55mm~75mm</w:t>
            </w:r>
          </w:p>
          <w:p w14:paraId="478C1C01">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7）镜头圈大小:75mm</w:t>
            </w:r>
          </w:p>
          <w:p w14:paraId="7926B514">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8）配台灯、实木材质桌子，实木台面≥50*83cm，高≥90cm（台面），≥118ccm总高</w:t>
            </w:r>
          </w:p>
        </w:tc>
        <w:tc>
          <w:tcPr>
            <w:tcW w:w="754" w:type="dxa"/>
            <w:vAlign w:val="center"/>
          </w:tcPr>
          <w:p w14:paraId="7582F4E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kern w:val="0"/>
                <w:sz w:val="24"/>
                <w:szCs w:val="24"/>
                <w:lang w:val="en-US" w:eastAsia="zh-CN"/>
              </w:rPr>
              <w:t>4</w:t>
            </w:r>
          </w:p>
        </w:tc>
        <w:tc>
          <w:tcPr>
            <w:tcW w:w="735" w:type="dxa"/>
            <w:vAlign w:val="center"/>
          </w:tcPr>
          <w:p w14:paraId="44E50B3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kern w:val="0"/>
                <w:sz w:val="24"/>
                <w:szCs w:val="24"/>
                <w:lang w:val="en-US" w:eastAsia="zh-CN"/>
              </w:rPr>
              <w:t>台</w:t>
            </w:r>
          </w:p>
        </w:tc>
        <w:tc>
          <w:tcPr>
            <w:tcW w:w="1320" w:type="dxa"/>
            <w:vAlign w:val="center"/>
          </w:tcPr>
          <w:p w14:paraId="4F0983D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color w:val="000000"/>
                <w:sz w:val="24"/>
                <w:szCs w:val="24"/>
                <w:lang w:val="en-US" w:eastAsia="zh-CN"/>
              </w:rPr>
              <w:t>4000</w:t>
            </w:r>
          </w:p>
        </w:tc>
        <w:tc>
          <w:tcPr>
            <w:tcW w:w="1252" w:type="dxa"/>
            <w:vAlign w:val="center"/>
          </w:tcPr>
          <w:p w14:paraId="2E9E2B7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color w:val="000000"/>
                <w:sz w:val="24"/>
                <w:szCs w:val="24"/>
                <w:lang w:val="en-US" w:eastAsia="zh-CN"/>
              </w:rPr>
              <w:t>16000</w:t>
            </w:r>
          </w:p>
        </w:tc>
      </w:tr>
      <w:tr w14:paraId="431C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822" w:type="dxa"/>
            <w:vAlign w:val="center"/>
          </w:tcPr>
          <w:p w14:paraId="12FBF807">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3C1CCF5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抛光机</w:t>
            </w:r>
          </w:p>
        </w:tc>
        <w:tc>
          <w:tcPr>
            <w:tcW w:w="3806" w:type="dxa"/>
            <w:shd w:val="clear" w:color="auto" w:fill="auto"/>
            <w:vAlign w:val="center"/>
          </w:tcPr>
          <w:p w14:paraId="28AF6D38">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布轮抛光机,用于产品表面抛光</w:t>
            </w:r>
          </w:p>
          <w:p w14:paraId="481F1091">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1）功率:550W</w:t>
            </w:r>
          </w:p>
          <w:p w14:paraId="09BB81E7">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2）转速: 2800r/min</w:t>
            </w:r>
          </w:p>
          <w:p w14:paraId="3849D0B6">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3）电压: 220V</w:t>
            </w:r>
          </w:p>
          <w:p w14:paraId="32320877">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4）重量: ≥22KG</w:t>
            </w:r>
          </w:p>
          <w:p w14:paraId="60C97EE8">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5）优点:马力大噪音小尺寸:600* 350*500mm</w:t>
            </w:r>
          </w:p>
          <w:p w14:paraId="49A878D6">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6）打磨马达:1/2HP匹</w:t>
            </w:r>
          </w:p>
          <w:p w14:paraId="3B1D211B">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7）吸尘马达: 1/2HP匹</w:t>
            </w:r>
          </w:p>
        </w:tc>
        <w:tc>
          <w:tcPr>
            <w:tcW w:w="754" w:type="dxa"/>
            <w:vAlign w:val="center"/>
          </w:tcPr>
          <w:p w14:paraId="55FE30B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4</w:t>
            </w:r>
          </w:p>
        </w:tc>
        <w:tc>
          <w:tcPr>
            <w:tcW w:w="735" w:type="dxa"/>
            <w:vAlign w:val="center"/>
          </w:tcPr>
          <w:p w14:paraId="74794F2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台</w:t>
            </w:r>
          </w:p>
        </w:tc>
        <w:tc>
          <w:tcPr>
            <w:tcW w:w="1320" w:type="dxa"/>
            <w:vAlign w:val="center"/>
          </w:tcPr>
          <w:p w14:paraId="39184A4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lang w:val="en-US" w:eastAsia="zh-CN"/>
              </w:rPr>
              <w:t>2600</w:t>
            </w:r>
          </w:p>
        </w:tc>
        <w:tc>
          <w:tcPr>
            <w:tcW w:w="1252" w:type="dxa"/>
            <w:vAlign w:val="center"/>
          </w:tcPr>
          <w:p w14:paraId="0CA0779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lang w:val="en-US" w:eastAsia="zh-CN"/>
              </w:rPr>
              <w:t>10400</w:t>
            </w:r>
          </w:p>
        </w:tc>
      </w:tr>
      <w:tr w14:paraId="552A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3CFC7CEF">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1BF2B42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碰焊机</w:t>
            </w:r>
          </w:p>
        </w:tc>
        <w:tc>
          <w:tcPr>
            <w:tcW w:w="3806" w:type="dxa"/>
            <w:shd w:val="clear" w:color="auto" w:fill="auto"/>
            <w:vAlign w:val="center"/>
          </w:tcPr>
          <w:p w14:paraId="08D8D96A">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80A高频碰焊机</w:t>
            </w:r>
          </w:p>
          <w:p w14:paraId="2C3DA1AA">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1）电压：220V/110V</w:t>
            </w:r>
          </w:p>
          <w:p w14:paraId="010465B4">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2）尺寸：31*21.3*15cm</w:t>
            </w:r>
          </w:p>
          <w:p w14:paraId="4C988C53">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3）焊接范围：0.2-1.3mm</w:t>
            </w:r>
          </w:p>
          <w:p w14:paraId="6279DE49">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4）重量：≥6kg</w:t>
            </w:r>
          </w:p>
        </w:tc>
        <w:tc>
          <w:tcPr>
            <w:tcW w:w="754" w:type="dxa"/>
            <w:vAlign w:val="center"/>
          </w:tcPr>
          <w:p w14:paraId="3E657BC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2</w:t>
            </w:r>
          </w:p>
        </w:tc>
        <w:tc>
          <w:tcPr>
            <w:tcW w:w="735" w:type="dxa"/>
            <w:vAlign w:val="center"/>
          </w:tcPr>
          <w:p w14:paraId="1F108F5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台</w:t>
            </w:r>
          </w:p>
        </w:tc>
        <w:tc>
          <w:tcPr>
            <w:tcW w:w="1320" w:type="dxa"/>
            <w:vAlign w:val="center"/>
          </w:tcPr>
          <w:p w14:paraId="0BEF509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lang w:val="en-US" w:eastAsia="zh-CN"/>
              </w:rPr>
              <w:t>1000</w:t>
            </w:r>
          </w:p>
        </w:tc>
        <w:tc>
          <w:tcPr>
            <w:tcW w:w="1252" w:type="dxa"/>
            <w:vAlign w:val="center"/>
          </w:tcPr>
          <w:p w14:paraId="1D33752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lang w:val="en-US" w:eastAsia="zh-CN"/>
              </w:rPr>
              <w:t>2000</w:t>
            </w:r>
          </w:p>
        </w:tc>
      </w:tr>
      <w:tr w14:paraId="7C3C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69EBB281">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0BEDE72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台式打磨机</w:t>
            </w:r>
          </w:p>
        </w:tc>
        <w:tc>
          <w:tcPr>
            <w:tcW w:w="3806" w:type="dxa"/>
            <w:shd w:val="clear" w:color="auto" w:fill="auto"/>
            <w:vAlign w:val="center"/>
          </w:tcPr>
          <w:p w14:paraId="2133D378">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用于产品打磨</w:t>
            </w:r>
          </w:p>
          <w:p w14:paraId="160E874B">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1）电源：220V/50Hz</w:t>
            </w:r>
          </w:p>
          <w:p w14:paraId="3C9231E0">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2）功率：250W</w:t>
            </w:r>
          </w:p>
          <w:p w14:paraId="55A0D663">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3）空载转速：2840r/min</w:t>
            </w:r>
          </w:p>
          <w:p w14:paraId="5A59253C">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4）砂轮片最大直径：150*20*32mm</w:t>
            </w:r>
          </w:p>
          <w:p w14:paraId="22FD22FC">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5）重量：≥7.6kg</w:t>
            </w:r>
          </w:p>
        </w:tc>
        <w:tc>
          <w:tcPr>
            <w:tcW w:w="754" w:type="dxa"/>
            <w:vAlign w:val="center"/>
          </w:tcPr>
          <w:p w14:paraId="2FDC492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3</w:t>
            </w:r>
          </w:p>
        </w:tc>
        <w:tc>
          <w:tcPr>
            <w:tcW w:w="735" w:type="dxa"/>
            <w:vAlign w:val="center"/>
          </w:tcPr>
          <w:p w14:paraId="060CF69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台</w:t>
            </w:r>
          </w:p>
        </w:tc>
        <w:tc>
          <w:tcPr>
            <w:tcW w:w="1320" w:type="dxa"/>
            <w:vAlign w:val="center"/>
          </w:tcPr>
          <w:p w14:paraId="67796E7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lang w:val="en-US" w:eastAsia="zh-CN"/>
              </w:rPr>
              <w:t>500</w:t>
            </w:r>
          </w:p>
        </w:tc>
        <w:tc>
          <w:tcPr>
            <w:tcW w:w="1252" w:type="dxa"/>
            <w:vAlign w:val="center"/>
          </w:tcPr>
          <w:p w14:paraId="0FCB55C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lang w:val="en-US" w:eastAsia="zh-CN"/>
              </w:rPr>
              <w:t>1500</w:t>
            </w:r>
          </w:p>
        </w:tc>
      </w:tr>
      <w:tr w14:paraId="4D43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43E04F7E">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6104DE6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蒸汽清洗机</w:t>
            </w:r>
          </w:p>
        </w:tc>
        <w:tc>
          <w:tcPr>
            <w:tcW w:w="3806" w:type="dxa"/>
            <w:shd w:val="clear" w:color="auto" w:fill="auto"/>
            <w:vAlign w:val="center"/>
          </w:tcPr>
          <w:p w14:paraId="1A2EDD84">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用于产品清洗</w:t>
            </w:r>
          </w:p>
          <w:p w14:paraId="1C303E38">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1）额定功率: 3500W</w:t>
            </w:r>
            <w:r>
              <w:rPr>
                <w:rFonts w:hint="eastAsia" w:asciiTheme="majorEastAsia" w:hAnsiTheme="majorEastAsia" w:eastAsiaTheme="majorEastAsia" w:cstheme="majorEastAsia"/>
                <w:sz w:val="24"/>
                <w:szCs w:val="24"/>
                <w:lang w:val="en-US" w:eastAsia="zh-CN"/>
              </w:rPr>
              <w:br w:type="textWrapping"/>
            </w:r>
            <w:r>
              <w:rPr>
                <w:rFonts w:hint="eastAsia" w:asciiTheme="majorEastAsia" w:hAnsiTheme="majorEastAsia" w:eastAsiaTheme="majorEastAsia" w:cstheme="majorEastAsia"/>
                <w:sz w:val="24"/>
                <w:szCs w:val="24"/>
                <w:lang w:val="en-US" w:eastAsia="zh-CN"/>
              </w:rPr>
              <w:t>2）额定电压: 220V</w:t>
            </w:r>
            <w:r>
              <w:rPr>
                <w:rFonts w:hint="eastAsia" w:asciiTheme="majorEastAsia" w:hAnsiTheme="majorEastAsia" w:eastAsiaTheme="majorEastAsia" w:cstheme="majorEastAsia"/>
                <w:sz w:val="24"/>
                <w:szCs w:val="24"/>
                <w:lang w:val="en-US" w:eastAsia="zh-CN"/>
              </w:rPr>
              <w:br w:type="textWrapping"/>
            </w:r>
            <w:r>
              <w:rPr>
                <w:rFonts w:hint="eastAsia" w:asciiTheme="majorEastAsia" w:hAnsiTheme="majorEastAsia" w:eastAsiaTheme="majorEastAsia" w:cstheme="majorEastAsia"/>
                <w:sz w:val="24"/>
                <w:szCs w:val="24"/>
                <w:lang w:val="en-US" w:eastAsia="zh-CN"/>
              </w:rPr>
              <w:t>3）额定频率: 50Hz</w:t>
            </w:r>
          </w:p>
        </w:tc>
        <w:tc>
          <w:tcPr>
            <w:tcW w:w="754" w:type="dxa"/>
            <w:vAlign w:val="center"/>
          </w:tcPr>
          <w:p w14:paraId="4B1D7AF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rPr>
              <w:t>1</w:t>
            </w:r>
          </w:p>
        </w:tc>
        <w:tc>
          <w:tcPr>
            <w:tcW w:w="735" w:type="dxa"/>
            <w:vAlign w:val="center"/>
          </w:tcPr>
          <w:p w14:paraId="64BCC74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rPr>
              <w:t>台</w:t>
            </w:r>
          </w:p>
        </w:tc>
        <w:tc>
          <w:tcPr>
            <w:tcW w:w="1320" w:type="dxa"/>
            <w:vAlign w:val="center"/>
          </w:tcPr>
          <w:p w14:paraId="04EE522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3500</w:t>
            </w:r>
          </w:p>
        </w:tc>
        <w:tc>
          <w:tcPr>
            <w:tcW w:w="1252" w:type="dxa"/>
            <w:vAlign w:val="center"/>
          </w:tcPr>
          <w:p w14:paraId="7BD1AA3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3500</w:t>
            </w:r>
          </w:p>
        </w:tc>
      </w:tr>
      <w:tr w14:paraId="2278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06754B54">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4CD41D3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lang w:val="en-US" w:eastAsia="zh-CN"/>
              </w:rPr>
              <w:t>石英坩埚外壳</w:t>
            </w:r>
          </w:p>
        </w:tc>
        <w:tc>
          <w:tcPr>
            <w:tcW w:w="3806" w:type="dxa"/>
            <w:shd w:val="clear" w:color="auto" w:fill="auto"/>
            <w:vAlign w:val="center"/>
          </w:tcPr>
          <w:p w14:paraId="2C1B9D0C">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石英材质</w:t>
            </w:r>
          </w:p>
          <w:p w14:paraId="160DD444">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耐氧化，耐高温</w:t>
            </w:r>
          </w:p>
          <w:p w14:paraId="185021E6">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1-4kg可选规格</w:t>
            </w:r>
          </w:p>
        </w:tc>
        <w:tc>
          <w:tcPr>
            <w:tcW w:w="754" w:type="dxa"/>
            <w:vAlign w:val="center"/>
          </w:tcPr>
          <w:p w14:paraId="37A3A5B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lang w:val="en-US" w:eastAsia="zh-CN"/>
              </w:rPr>
              <w:t>50</w:t>
            </w:r>
          </w:p>
        </w:tc>
        <w:tc>
          <w:tcPr>
            <w:tcW w:w="735" w:type="dxa"/>
            <w:vAlign w:val="center"/>
          </w:tcPr>
          <w:p w14:paraId="07F0460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lang w:val="en-US" w:eastAsia="zh-CN"/>
              </w:rPr>
              <w:t>个</w:t>
            </w:r>
          </w:p>
        </w:tc>
        <w:tc>
          <w:tcPr>
            <w:tcW w:w="1320" w:type="dxa"/>
            <w:vAlign w:val="center"/>
          </w:tcPr>
          <w:p w14:paraId="51728AF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sz w:val="24"/>
                <w:szCs w:val="24"/>
                <w:lang w:val="en-US" w:eastAsia="zh-CN"/>
              </w:rPr>
              <w:t>50</w:t>
            </w:r>
          </w:p>
        </w:tc>
        <w:tc>
          <w:tcPr>
            <w:tcW w:w="1252" w:type="dxa"/>
            <w:vAlign w:val="center"/>
          </w:tcPr>
          <w:p w14:paraId="1F1A59D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sz w:val="24"/>
                <w:szCs w:val="24"/>
                <w:lang w:val="en-US" w:eastAsia="zh-CN"/>
              </w:rPr>
              <w:t>2500</w:t>
            </w:r>
          </w:p>
        </w:tc>
      </w:tr>
      <w:tr w14:paraId="314F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6A7511EE">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212F074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lang w:val="en-US" w:eastAsia="zh-CN"/>
              </w:rPr>
              <w:t>石英棒</w:t>
            </w:r>
          </w:p>
        </w:tc>
        <w:tc>
          <w:tcPr>
            <w:tcW w:w="3806" w:type="dxa"/>
            <w:shd w:val="clear" w:color="auto" w:fill="auto"/>
            <w:vAlign w:val="center"/>
          </w:tcPr>
          <w:p w14:paraId="5F01EF33">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1）石英玻璃材质</w:t>
            </w:r>
          </w:p>
          <w:p w14:paraId="65DED8F8">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2）直径≥8mm，长度≥15cm</w:t>
            </w:r>
          </w:p>
          <w:p w14:paraId="43EBCDCE">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3）透光性好，耐腐蚀，耐高温</w:t>
            </w:r>
          </w:p>
        </w:tc>
        <w:tc>
          <w:tcPr>
            <w:tcW w:w="754" w:type="dxa"/>
            <w:vAlign w:val="center"/>
          </w:tcPr>
          <w:p w14:paraId="4EECB5C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lang w:val="en-US" w:eastAsia="zh-CN"/>
              </w:rPr>
              <w:t>10</w:t>
            </w:r>
          </w:p>
        </w:tc>
        <w:tc>
          <w:tcPr>
            <w:tcW w:w="735" w:type="dxa"/>
            <w:vAlign w:val="center"/>
          </w:tcPr>
          <w:p w14:paraId="429A1FB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lang w:val="en-US" w:eastAsia="zh-CN"/>
              </w:rPr>
              <w:t>把</w:t>
            </w:r>
          </w:p>
        </w:tc>
        <w:tc>
          <w:tcPr>
            <w:tcW w:w="1320" w:type="dxa"/>
            <w:vAlign w:val="center"/>
          </w:tcPr>
          <w:p w14:paraId="085321F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sz w:val="24"/>
                <w:szCs w:val="24"/>
                <w:lang w:val="en-US" w:eastAsia="zh-CN"/>
              </w:rPr>
              <w:t>10</w:t>
            </w:r>
          </w:p>
        </w:tc>
        <w:tc>
          <w:tcPr>
            <w:tcW w:w="1252" w:type="dxa"/>
            <w:vAlign w:val="center"/>
          </w:tcPr>
          <w:p w14:paraId="0E3C781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sz w:val="24"/>
                <w:szCs w:val="24"/>
                <w:lang w:val="en-US" w:eastAsia="zh-CN"/>
              </w:rPr>
              <w:t>100</w:t>
            </w:r>
          </w:p>
        </w:tc>
      </w:tr>
      <w:tr w14:paraId="366D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1282E6C9">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bookmarkStart w:id="8" w:name="_Toc7303"/>
          </w:p>
        </w:tc>
        <w:tc>
          <w:tcPr>
            <w:tcW w:w="1380" w:type="dxa"/>
            <w:vAlign w:val="center"/>
          </w:tcPr>
          <w:p w14:paraId="010E421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lang w:val="en-US" w:eastAsia="zh-CN"/>
              </w:rPr>
              <w:t>量杯</w:t>
            </w:r>
          </w:p>
        </w:tc>
        <w:tc>
          <w:tcPr>
            <w:tcW w:w="3806" w:type="dxa"/>
            <w:shd w:val="clear" w:color="auto" w:fill="auto"/>
            <w:vAlign w:val="center"/>
          </w:tcPr>
          <w:p w14:paraId="77D57D2F">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量程≥500ml</w:t>
            </w:r>
          </w:p>
          <w:p w14:paraId="6C542008">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高硼硅无铅玻璃材质，透明色</w:t>
            </w:r>
          </w:p>
          <w:p w14:paraId="46CC9EC9">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尺寸≥101*122mm</w:t>
            </w:r>
          </w:p>
        </w:tc>
        <w:tc>
          <w:tcPr>
            <w:tcW w:w="754" w:type="dxa"/>
            <w:vAlign w:val="center"/>
          </w:tcPr>
          <w:p w14:paraId="1BBFA83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lang w:val="en-US" w:eastAsia="zh-CN"/>
              </w:rPr>
              <w:t>50</w:t>
            </w:r>
          </w:p>
        </w:tc>
        <w:tc>
          <w:tcPr>
            <w:tcW w:w="735" w:type="dxa"/>
            <w:vAlign w:val="center"/>
          </w:tcPr>
          <w:p w14:paraId="3EC1B69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lang w:val="en-US" w:eastAsia="zh-CN"/>
              </w:rPr>
              <w:t>个</w:t>
            </w:r>
          </w:p>
        </w:tc>
        <w:tc>
          <w:tcPr>
            <w:tcW w:w="1320" w:type="dxa"/>
            <w:vAlign w:val="center"/>
          </w:tcPr>
          <w:p w14:paraId="75F9C95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sz w:val="24"/>
                <w:szCs w:val="24"/>
                <w:lang w:val="en-US" w:eastAsia="zh-CN"/>
              </w:rPr>
              <w:t>10</w:t>
            </w:r>
          </w:p>
        </w:tc>
        <w:tc>
          <w:tcPr>
            <w:tcW w:w="1252" w:type="dxa"/>
            <w:vAlign w:val="center"/>
          </w:tcPr>
          <w:p w14:paraId="30CC9A2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sz w:val="24"/>
                <w:szCs w:val="24"/>
                <w:lang w:val="en-US" w:eastAsia="zh-CN"/>
              </w:rPr>
              <w:t>500</w:t>
            </w:r>
          </w:p>
        </w:tc>
      </w:tr>
      <w:tr w14:paraId="7E0D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714A5357">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6CB127D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工具套装</w:t>
            </w:r>
          </w:p>
        </w:tc>
        <w:tc>
          <w:tcPr>
            <w:tcW w:w="3806" w:type="dxa"/>
            <w:vAlign w:val="center"/>
          </w:tcPr>
          <w:p w14:paraId="4802695A">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用于金工制作工具套装</w:t>
            </w:r>
          </w:p>
          <w:p w14:paraId="513E423C">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1.四方焊瓦（尺寸≥15*11*2cm）：5块</w:t>
            </w:r>
          </w:p>
          <w:p w14:paraId="27B1A7F8">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2.蜂窝焊瓦(≥13.5*9.5*1.2cm)：2块</w:t>
            </w:r>
          </w:p>
          <w:p w14:paraId="20DED649">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3.不锈钢葫芦夹（长≥130mm）：</w:t>
            </w:r>
          </w:p>
          <w:p w14:paraId="5C48F377">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1个</w:t>
            </w:r>
          </w:p>
          <w:p w14:paraId="261306CB">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4.Ts AA夹（长≥13.5cm）：5把</w:t>
            </w:r>
          </w:p>
          <w:p w14:paraId="1D456FDA">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5.金粉铲（长：≥60mm ）                                 6.铲口宽：46mm，有耳铲）:1个</w:t>
            </w:r>
          </w:p>
          <w:p w14:paraId="3F1EE75F">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7.电子卡尺≥（精度0.02mm，150mm量程）：2把</w:t>
            </w:r>
          </w:p>
          <w:p w14:paraId="35FB37A4">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8.锯弓套装（德国黑柄锯弓，锯身120mm，配4/0锯条2包）：2套</w:t>
            </w:r>
          </w:p>
          <w:p w14:paraId="1D110BC2">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9.港度尺（黄铜尺身，长16cm，1-33号码）：2把</w:t>
            </w:r>
          </w:p>
          <w:p w14:paraId="57E47BCE">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10.四方平垫≥（尺寸100*100*20mm）：1块</w:t>
            </w:r>
          </w:p>
          <w:p w14:paraId="5E664833">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11.锉刀：14cm4#三角锉、半圆锉、竹叶锉、方锉、圆锉、平板锉：各1把；18cm3#三角锉、半圆锉、竹叶锉、方锉、圆锉、平板锉：各1把；220mm00#白柄三角锉、白柄半圆锉：各1把；5寸4#油光锉、木锉柄各1支，55mm4#卜锉1支</w:t>
            </w:r>
          </w:p>
          <w:p w14:paraId="15D12BE3">
            <w:pPr>
              <w:numPr>
                <w:ilvl w:val="0"/>
                <w:numId w:val="4"/>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钳子：总长130mm、红色PVC软胶手柄、尖嘴钳、圆嘴钳、平嘴钳、圆平钳、圆凹钳、卜平钳、弯咀钳：各1把；130mm平行尖咀钳、平行圆咀钳、平行平咀钳：各1把；MTC-2D剪钳：1把</w:t>
            </w:r>
          </w:p>
          <w:p w14:paraId="3452B7AF">
            <w:pPr>
              <w:numPr>
                <w:ilvl w:val="0"/>
                <w:numId w:val="4"/>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锣针：波针005、006、008、010、012、014、016、018；牙针006、008、010、012、014；钻针006、007、008、009、010、012、014；飞碟针；吸珠009、010、012、014、016、018 .021；各1盒</w:t>
            </w:r>
          </w:p>
          <w:p w14:paraId="67862845">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14.2磅黄石膏粉：1包</w:t>
            </w:r>
          </w:p>
          <w:p w14:paraId="28271F1E">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15.2磅白矾：2包</w:t>
            </w:r>
          </w:p>
          <w:p w14:paraId="737DE63C">
            <w:pPr>
              <w:numPr>
                <w:ilvl w:val="0"/>
                <w:numId w:val="0"/>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16.手提工具箱:1个</w:t>
            </w:r>
          </w:p>
          <w:p w14:paraId="5DE24AF8">
            <w:pPr>
              <w:numPr>
                <w:ilvl w:val="0"/>
                <w:numId w:val="0"/>
              </w:numPr>
              <w:adjustRightInd w:val="0"/>
              <w:snapToGrid w:val="0"/>
              <w:ind w:left="0" w:leftChars="0" w:firstLine="0" w:firstLineChars="0"/>
              <w:jc w:val="left"/>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17.银料（银含量99.99%）：≥150g</w:t>
            </w:r>
          </w:p>
        </w:tc>
        <w:tc>
          <w:tcPr>
            <w:tcW w:w="754" w:type="dxa"/>
            <w:vAlign w:val="center"/>
          </w:tcPr>
          <w:p w14:paraId="695CAC3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40</w:t>
            </w:r>
          </w:p>
        </w:tc>
        <w:tc>
          <w:tcPr>
            <w:tcW w:w="735" w:type="dxa"/>
            <w:vAlign w:val="center"/>
          </w:tcPr>
          <w:p w14:paraId="55BE70F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套</w:t>
            </w:r>
          </w:p>
        </w:tc>
        <w:tc>
          <w:tcPr>
            <w:tcW w:w="1320" w:type="dxa"/>
            <w:vAlign w:val="center"/>
          </w:tcPr>
          <w:p w14:paraId="2A050C6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5700</w:t>
            </w:r>
          </w:p>
        </w:tc>
        <w:tc>
          <w:tcPr>
            <w:tcW w:w="1252" w:type="dxa"/>
            <w:vAlign w:val="center"/>
          </w:tcPr>
          <w:p w14:paraId="5473E75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228000</w:t>
            </w:r>
          </w:p>
        </w:tc>
      </w:tr>
      <w:tr w14:paraId="58CA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7F747B3B">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4DE79E9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lang w:val="en-US" w:eastAsia="zh-CN"/>
              </w:rPr>
              <w:t>除蜡水</w:t>
            </w:r>
          </w:p>
        </w:tc>
        <w:tc>
          <w:tcPr>
            <w:tcW w:w="3806" w:type="dxa"/>
            <w:shd w:val="clear" w:color="auto" w:fill="auto"/>
            <w:vAlign w:val="center"/>
          </w:tcPr>
          <w:p w14:paraId="23C49218">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1.强力除蜡水，脱蜡迅速无残留，无刺激性气温</w:t>
            </w:r>
          </w:p>
          <w:p w14:paraId="7B8E91C7">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2.重≥25kg</w:t>
            </w:r>
          </w:p>
        </w:tc>
        <w:tc>
          <w:tcPr>
            <w:tcW w:w="754" w:type="dxa"/>
            <w:vAlign w:val="center"/>
          </w:tcPr>
          <w:p w14:paraId="05FBCA7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lang w:val="en-US" w:eastAsia="zh-CN"/>
              </w:rPr>
              <w:t>1</w:t>
            </w:r>
          </w:p>
        </w:tc>
        <w:tc>
          <w:tcPr>
            <w:tcW w:w="735" w:type="dxa"/>
            <w:vAlign w:val="center"/>
          </w:tcPr>
          <w:p w14:paraId="0D4CFF5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lang w:val="en-US" w:eastAsia="zh-CN"/>
              </w:rPr>
              <w:t>桶</w:t>
            </w:r>
          </w:p>
        </w:tc>
        <w:tc>
          <w:tcPr>
            <w:tcW w:w="1320" w:type="dxa"/>
            <w:vAlign w:val="center"/>
          </w:tcPr>
          <w:p w14:paraId="783E9EE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sz w:val="24"/>
                <w:szCs w:val="24"/>
                <w:lang w:val="en-US" w:eastAsia="zh-CN"/>
              </w:rPr>
              <w:t>500</w:t>
            </w:r>
          </w:p>
        </w:tc>
        <w:tc>
          <w:tcPr>
            <w:tcW w:w="1252" w:type="dxa"/>
            <w:vAlign w:val="center"/>
          </w:tcPr>
          <w:p w14:paraId="4BC6536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sz w:val="24"/>
                <w:szCs w:val="24"/>
                <w:lang w:val="en-US" w:eastAsia="zh-CN"/>
              </w:rPr>
              <w:t>500</w:t>
            </w:r>
          </w:p>
        </w:tc>
      </w:tr>
      <w:tr w14:paraId="3FD4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573DF0A5">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3453142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打金工具套装</w:t>
            </w:r>
          </w:p>
        </w:tc>
        <w:tc>
          <w:tcPr>
            <w:tcW w:w="3806" w:type="dxa"/>
            <w:shd w:val="clear" w:color="auto" w:fill="auto"/>
            <w:vAlign w:val="center"/>
          </w:tcPr>
          <w:p w14:paraId="0338843D">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1）木柄铜刷：2把</w:t>
            </w:r>
          </w:p>
          <w:p w14:paraId="07134A06">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2）手镯棒：1支</w:t>
            </w:r>
          </w:p>
          <w:p w14:paraId="54407C01">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3）大号坑铁、坑木:各1块</w:t>
            </w:r>
          </w:p>
          <w:p w14:paraId="1E98015C">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4）大铁锤:1把</w:t>
            </w:r>
          </w:p>
          <w:p w14:paraId="409DC4AF">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5）小胶锤、小铁锤：各2把</w:t>
            </w:r>
          </w:p>
          <w:p w14:paraId="1D20480B">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6）圆头锤大中小：各1把</w:t>
            </w:r>
          </w:p>
          <w:p w14:paraId="48384D2C">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7）肌理锤：10把</w:t>
            </w:r>
          </w:p>
          <w:p w14:paraId="5F1D9D42">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8）铜锤1P、1.5P：各1把</w:t>
            </w:r>
          </w:p>
          <w:p w14:paraId="305EC5DD">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9）簪刻胶：2块</w:t>
            </w:r>
          </w:p>
          <w:p w14:paraId="2A52CA4F">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10）玛瑙刀及刀柄：1支</w:t>
            </w:r>
          </w:p>
          <w:p w14:paraId="42D8441C">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11）黑色剪刀、小头焊料剪:各1把</w:t>
            </w:r>
          </w:p>
          <w:p w14:paraId="4E2D86E1">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12）簪刻花簪：120支</w:t>
            </w:r>
          </w:p>
          <w:p w14:paraId="21F49F0A">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13）簪刻刀：40支</w:t>
            </w:r>
          </w:p>
          <w:p w14:paraId="62DBD90E">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14）旋转錾刻台：1台</w:t>
            </w:r>
          </w:p>
          <w:p w14:paraId="42CC8D9E">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15）8寸台钳：1台</w:t>
            </w:r>
          </w:p>
          <w:p w14:paraId="47404871">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16）羊角砧（9*9台面）：1台</w:t>
            </w:r>
          </w:p>
          <w:p w14:paraId="4980E3B1">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17）10号圆平砧：1块</w:t>
            </w:r>
          </w:p>
        </w:tc>
        <w:tc>
          <w:tcPr>
            <w:tcW w:w="754" w:type="dxa"/>
            <w:vAlign w:val="center"/>
          </w:tcPr>
          <w:p w14:paraId="7AF03FD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1</w:t>
            </w:r>
          </w:p>
        </w:tc>
        <w:tc>
          <w:tcPr>
            <w:tcW w:w="735" w:type="dxa"/>
            <w:vAlign w:val="center"/>
          </w:tcPr>
          <w:p w14:paraId="4F325B4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套</w:t>
            </w:r>
          </w:p>
        </w:tc>
        <w:tc>
          <w:tcPr>
            <w:tcW w:w="1320" w:type="dxa"/>
            <w:vAlign w:val="center"/>
          </w:tcPr>
          <w:p w14:paraId="0867A31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9000</w:t>
            </w:r>
          </w:p>
        </w:tc>
        <w:tc>
          <w:tcPr>
            <w:tcW w:w="1252" w:type="dxa"/>
            <w:vAlign w:val="center"/>
          </w:tcPr>
          <w:p w14:paraId="327FFD1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9000</w:t>
            </w:r>
          </w:p>
        </w:tc>
      </w:tr>
      <w:tr w14:paraId="33DF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5D4DEA01">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5B53D43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戒指扩大器</w:t>
            </w:r>
          </w:p>
        </w:tc>
        <w:tc>
          <w:tcPr>
            <w:tcW w:w="3806" w:type="dxa"/>
            <w:shd w:val="clear" w:color="auto" w:fill="auto"/>
            <w:vAlign w:val="center"/>
          </w:tcPr>
          <w:p w14:paraId="6B6CBE36">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用于调整戒指尺寸，扩大缩小双功能</w:t>
            </w:r>
          </w:p>
          <w:p w14:paraId="11B43AD7">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1）高碳钢</w:t>
            </w:r>
          </w:p>
          <w:p w14:paraId="798AB0C6">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2）长度：≥18M</w:t>
            </w:r>
          </w:p>
          <w:p w14:paraId="07502F05">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3）高度：≥36.5cm</w:t>
            </w:r>
          </w:p>
          <w:p w14:paraId="3AA12588">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4）底座宽度：≥13cm</w:t>
            </w:r>
          </w:p>
          <w:p w14:paraId="318BE3DB">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5)重量：≥12kg</w:t>
            </w:r>
          </w:p>
        </w:tc>
        <w:tc>
          <w:tcPr>
            <w:tcW w:w="754" w:type="dxa"/>
            <w:vAlign w:val="center"/>
          </w:tcPr>
          <w:p w14:paraId="4CDDACD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1</w:t>
            </w:r>
          </w:p>
        </w:tc>
        <w:tc>
          <w:tcPr>
            <w:tcW w:w="735" w:type="dxa"/>
            <w:vAlign w:val="center"/>
          </w:tcPr>
          <w:p w14:paraId="4E21A13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台</w:t>
            </w:r>
          </w:p>
        </w:tc>
        <w:tc>
          <w:tcPr>
            <w:tcW w:w="1320" w:type="dxa"/>
            <w:vAlign w:val="center"/>
          </w:tcPr>
          <w:p w14:paraId="3098239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1000</w:t>
            </w:r>
          </w:p>
        </w:tc>
        <w:tc>
          <w:tcPr>
            <w:tcW w:w="1252" w:type="dxa"/>
            <w:vAlign w:val="center"/>
          </w:tcPr>
          <w:p w14:paraId="63D76EC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1000</w:t>
            </w:r>
          </w:p>
        </w:tc>
      </w:tr>
      <w:tr w14:paraId="4638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4F3410A1">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0AF6147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手镯扩大器</w:t>
            </w:r>
          </w:p>
        </w:tc>
        <w:tc>
          <w:tcPr>
            <w:tcW w:w="3806" w:type="dxa"/>
            <w:shd w:val="clear" w:color="auto" w:fill="auto"/>
            <w:vAlign w:val="center"/>
          </w:tcPr>
          <w:p w14:paraId="3BC0262A">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用于扩大手镯尺寸</w:t>
            </w:r>
          </w:p>
          <w:p w14:paraId="360E57E6">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1）高碳钢</w:t>
            </w:r>
          </w:p>
          <w:p w14:paraId="7741F7FD">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2）长度：≥12.3cm</w:t>
            </w:r>
          </w:p>
          <w:p w14:paraId="56D5414F">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3）高度：≥32cm</w:t>
            </w:r>
          </w:p>
          <w:p w14:paraId="29413869">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4）底座宽度：≥18cm</w:t>
            </w:r>
          </w:p>
          <w:p w14:paraId="25668986">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5)重量：≥10.8kg</w:t>
            </w:r>
          </w:p>
        </w:tc>
        <w:tc>
          <w:tcPr>
            <w:tcW w:w="754" w:type="dxa"/>
            <w:vAlign w:val="center"/>
          </w:tcPr>
          <w:p w14:paraId="63A3402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1</w:t>
            </w:r>
          </w:p>
        </w:tc>
        <w:tc>
          <w:tcPr>
            <w:tcW w:w="735" w:type="dxa"/>
            <w:vAlign w:val="center"/>
          </w:tcPr>
          <w:p w14:paraId="0830324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台</w:t>
            </w:r>
          </w:p>
        </w:tc>
        <w:tc>
          <w:tcPr>
            <w:tcW w:w="1320" w:type="dxa"/>
            <w:vAlign w:val="center"/>
          </w:tcPr>
          <w:p w14:paraId="2AB1B7E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1000</w:t>
            </w:r>
          </w:p>
        </w:tc>
        <w:tc>
          <w:tcPr>
            <w:tcW w:w="1252" w:type="dxa"/>
            <w:vAlign w:val="center"/>
          </w:tcPr>
          <w:p w14:paraId="028ADCF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1000</w:t>
            </w:r>
          </w:p>
        </w:tc>
      </w:tr>
      <w:tr w14:paraId="3493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7FA1FBC5">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7B89634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压片机(压片/四方)</w:t>
            </w:r>
          </w:p>
        </w:tc>
        <w:tc>
          <w:tcPr>
            <w:tcW w:w="3806" w:type="dxa"/>
            <w:vAlign w:val="center"/>
          </w:tcPr>
          <w:p w14:paraId="4431788E">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用于压金银</w:t>
            </w:r>
          </w:p>
          <w:p w14:paraId="2217DE65">
            <w:pPr>
              <w:numPr>
                <w:ilvl w:val="0"/>
                <w:numId w:val="5"/>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滚轴长度：≥250MM</w:t>
            </w:r>
          </w:p>
          <w:p w14:paraId="6D6687CB">
            <w:pPr>
              <w:numPr>
                <w:ilvl w:val="0"/>
                <w:numId w:val="5"/>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滚轴直径：≥70MM</w:t>
            </w:r>
          </w:p>
          <w:p w14:paraId="28815DCC">
            <w:pPr>
              <w:numPr>
                <w:ilvl w:val="0"/>
                <w:numId w:val="5"/>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高度：≥320MM</w:t>
            </w:r>
          </w:p>
          <w:p w14:paraId="00FCFD09">
            <w:pPr>
              <w:numPr>
                <w:ilvl w:val="0"/>
                <w:numId w:val="5"/>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设备尺寸：≥380mm*320mm</w:t>
            </w:r>
          </w:p>
          <w:p w14:paraId="60AA5E19">
            <w:pPr>
              <w:numPr>
                <w:ilvl w:val="0"/>
                <w:numId w:val="5"/>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功能：压片/四方</w:t>
            </w:r>
          </w:p>
          <w:p w14:paraId="5F0AB728">
            <w:pPr>
              <w:numPr>
                <w:ilvl w:val="0"/>
                <w:numId w:val="5"/>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四方 ：2/2.5/3/3.5/4/5/6/7/8/9/10/11/12MM(有倒角)</w:t>
            </w:r>
          </w:p>
          <w:p w14:paraId="752C98E1">
            <w:pPr>
              <w:numPr>
                <w:ilvl w:val="0"/>
                <w:numId w:val="0"/>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压片：138MM</w:t>
            </w:r>
          </w:p>
          <w:p w14:paraId="5854C76B">
            <w:pPr>
              <w:numPr>
                <w:ilvl w:val="0"/>
                <w:numId w:val="5"/>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重量：≥36KG</w:t>
            </w:r>
          </w:p>
          <w:p w14:paraId="24671B3B">
            <w:pPr>
              <w:numPr>
                <w:ilvl w:val="0"/>
                <w:numId w:val="0"/>
              </w:numPr>
              <w:adjustRightInd w:val="0"/>
              <w:snapToGrid w:val="0"/>
              <w:ind w:left="0" w:leftChars="0" w:firstLine="0" w:firstLineChars="0"/>
              <w:jc w:val="left"/>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8.材质：40CR</w:t>
            </w:r>
          </w:p>
        </w:tc>
        <w:tc>
          <w:tcPr>
            <w:tcW w:w="754" w:type="dxa"/>
            <w:vAlign w:val="center"/>
          </w:tcPr>
          <w:p w14:paraId="44F2F33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1</w:t>
            </w:r>
          </w:p>
        </w:tc>
        <w:tc>
          <w:tcPr>
            <w:tcW w:w="735" w:type="dxa"/>
            <w:vAlign w:val="center"/>
          </w:tcPr>
          <w:p w14:paraId="1BDFDB8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台</w:t>
            </w:r>
          </w:p>
        </w:tc>
        <w:tc>
          <w:tcPr>
            <w:tcW w:w="1320" w:type="dxa"/>
            <w:vAlign w:val="center"/>
          </w:tcPr>
          <w:p w14:paraId="3F51AB8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4000</w:t>
            </w:r>
          </w:p>
        </w:tc>
        <w:tc>
          <w:tcPr>
            <w:tcW w:w="1252" w:type="dxa"/>
            <w:vAlign w:val="center"/>
          </w:tcPr>
          <w:p w14:paraId="3BF5BC3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4000</w:t>
            </w:r>
          </w:p>
        </w:tc>
      </w:tr>
      <w:tr w14:paraId="391A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0226F5D4">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72A3B3F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压片机(四方/压圆)</w:t>
            </w:r>
          </w:p>
        </w:tc>
        <w:tc>
          <w:tcPr>
            <w:tcW w:w="3806" w:type="dxa"/>
            <w:vAlign w:val="center"/>
          </w:tcPr>
          <w:p w14:paraId="504155B0">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用于压金银</w:t>
            </w:r>
          </w:p>
          <w:p w14:paraId="30D8AC19">
            <w:pPr>
              <w:numPr>
                <w:ilvl w:val="0"/>
                <w:numId w:val="6"/>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滚轴长度：≥250MM</w:t>
            </w:r>
          </w:p>
          <w:p w14:paraId="0C7B105F">
            <w:pPr>
              <w:numPr>
                <w:ilvl w:val="0"/>
                <w:numId w:val="6"/>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滚轴直径：≥70MM</w:t>
            </w:r>
          </w:p>
          <w:p w14:paraId="037E59B1">
            <w:pPr>
              <w:numPr>
                <w:ilvl w:val="0"/>
                <w:numId w:val="6"/>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高度：≥320MM</w:t>
            </w:r>
          </w:p>
          <w:p w14:paraId="26689626">
            <w:pPr>
              <w:numPr>
                <w:ilvl w:val="0"/>
                <w:numId w:val="6"/>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设备尺寸：≥380mm*320mm</w:t>
            </w:r>
          </w:p>
          <w:p w14:paraId="19A36BD6">
            <w:pPr>
              <w:numPr>
                <w:ilvl w:val="0"/>
                <w:numId w:val="6"/>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功能：四方/压圆</w:t>
            </w:r>
          </w:p>
          <w:p w14:paraId="72E08760">
            <w:pPr>
              <w:numPr>
                <w:ilvl w:val="0"/>
                <w:numId w:val="6"/>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四方：</w:t>
            </w:r>
          </w:p>
          <w:p w14:paraId="3C2D4604">
            <w:pPr>
              <w:numPr>
                <w:ilvl w:val="0"/>
                <w:numId w:val="0"/>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 5/6/7/8/9/10/11/12MM(不倒角)</w:t>
            </w:r>
          </w:p>
          <w:p w14:paraId="625D11F1">
            <w:pPr>
              <w:numPr>
                <w:ilvl w:val="0"/>
                <w:numId w:val="0"/>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压圆 ：2./2.2/2.4/2.6/2.8/3/3.2/3.4/3.6/3.8/4/4.2/4.4/4.6/4.8/5/</w:t>
            </w:r>
          </w:p>
          <w:p w14:paraId="342CBE80">
            <w:pPr>
              <w:numPr>
                <w:ilvl w:val="0"/>
                <w:numId w:val="0"/>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5.2/5.4/5.6/5.8/6/6.2/6.4/6.7/7/7.3mm</w:t>
            </w:r>
          </w:p>
          <w:p w14:paraId="29E37C9B">
            <w:pPr>
              <w:numPr>
                <w:ilvl w:val="0"/>
                <w:numId w:val="0"/>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7.重量：≥36KG</w:t>
            </w:r>
          </w:p>
          <w:p w14:paraId="4846AD7C">
            <w:pPr>
              <w:adjustRightInd w:val="0"/>
              <w:snapToGrid w:val="0"/>
              <w:jc w:val="left"/>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8.材质：40CR</w:t>
            </w:r>
          </w:p>
        </w:tc>
        <w:tc>
          <w:tcPr>
            <w:tcW w:w="754" w:type="dxa"/>
            <w:vAlign w:val="center"/>
          </w:tcPr>
          <w:p w14:paraId="3D2E32E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1</w:t>
            </w:r>
          </w:p>
        </w:tc>
        <w:tc>
          <w:tcPr>
            <w:tcW w:w="735" w:type="dxa"/>
            <w:vAlign w:val="center"/>
          </w:tcPr>
          <w:p w14:paraId="0709466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台</w:t>
            </w:r>
          </w:p>
        </w:tc>
        <w:tc>
          <w:tcPr>
            <w:tcW w:w="1320" w:type="dxa"/>
            <w:vAlign w:val="center"/>
          </w:tcPr>
          <w:p w14:paraId="264496B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4000</w:t>
            </w:r>
          </w:p>
        </w:tc>
        <w:tc>
          <w:tcPr>
            <w:tcW w:w="1252" w:type="dxa"/>
            <w:vAlign w:val="center"/>
          </w:tcPr>
          <w:p w14:paraId="324878C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4000</w:t>
            </w:r>
          </w:p>
        </w:tc>
      </w:tr>
      <w:tr w14:paraId="1F18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77FA655F">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4949D19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金工锤</w:t>
            </w:r>
          </w:p>
        </w:tc>
        <w:tc>
          <w:tcPr>
            <w:tcW w:w="3806" w:type="dxa"/>
            <w:shd w:val="clear" w:color="auto" w:fill="auto"/>
            <w:vAlign w:val="center"/>
          </w:tcPr>
          <w:p w14:paraId="6B975244">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1）规格HMR401-HMR417,共11把。</w:t>
            </w:r>
          </w:p>
          <w:p w14:paraId="323E8266">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2）适合打造特殊的凹凸曲面。这套打金锤是由大师Michael Good和Fretz合作完成的，所打造的凹凸曲面技法也是他所擅长。 </w:t>
            </w:r>
          </w:p>
          <w:p w14:paraId="14CB1793">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3）洛氏硬度50Rc,锤柄部分的材质采用的是北美白蜡木</w:t>
            </w:r>
          </w:p>
        </w:tc>
        <w:tc>
          <w:tcPr>
            <w:tcW w:w="754" w:type="dxa"/>
            <w:vAlign w:val="center"/>
          </w:tcPr>
          <w:p w14:paraId="371B9B7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2</w:t>
            </w:r>
          </w:p>
        </w:tc>
        <w:tc>
          <w:tcPr>
            <w:tcW w:w="735" w:type="dxa"/>
            <w:vAlign w:val="center"/>
          </w:tcPr>
          <w:p w14:paraId="6AB1FCB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套</w:t>
            </w:r>
          </w:p>
        </w:tc>
        <w:tc>
          <w:tcPr>
            <w:tcW w:w="1320" w:type="dxa"/>
            <w:vAlign w:val="center"/>
          </w:tcPr>
          <w:p w14:paraId="429D53D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15000</w:t>
            </w:r>
          </w:p>
        </w:tc>
        <w:tc>
          <w:tcPr>
            <w:tcW w:w="1252" w:type="dxa"/>
            <w:vAlign w:val="center"/>
          </w:tcPr>
          <w:p w14:paraId="754E1DE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30000</w:t>
            </w:r>
          </w:p>
        </w:tc>
      </w:tr>
      <w:tr w14:paraId="7BFD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213FC149">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023379D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珠宝打金锤</w:t>
            </w:r>
          </w:p>
        </w:tc>
        <w:tc>
          <w:tcPr>
            <w:tcW w:w="3806" w:type="dxa"/>
            <w:shd w:val="clear" w:color="auto" w:fill="auto"/>
            <w:vAlign w:val="center"/>
          </w:tcPr>
          <w:p w14:paraId="2418C880">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1）规格HMR-1-HMR-21,共23把。</w:t>
            </w:r>
          </w:p>
          <w:p w14:paraId="5CE5CF40">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2）适合打造特殊的凹凸曲面。这套打金锤是由大师Michael Good和Fretz合作完成的，所打造的凹凸曲面技法也是他所擅长。 </w:t>
            </w:r>
          </w:p>
          <w:p w14:paraId="1B116C3A">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3）洛氏硬度50Rc,锤柄部分的材质采用的是北美白蜡木</w:t>
            </w:r>
          </w:p>
        </w:tc>
        <w:tc>
          <w:tcPr>
            <w:tcW w:w="754" w:type="dxa"/>
            <w:vAlign w:val="center"/>
          </w:tcPr>
          <w:p w14:paraId="78866A9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2</w:t>
            </w:r>
          </w:p>
        </w:tc>
        <w:tc>
          <w:tcPr>
            <w:tcW w:w="735" w:type="dxa"/>
            <w:vAlign w:val="center"/>
          </w:tcPr>
          <w:p w14:paraId="618B209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套</w:t>
            </w:r>
          </w:p>
        </w:tc>
        <w:tc>
          <w:tcPr>
            <w:tcW w:w="1320" w:type="dxa"/>
            <w:vAlign w:val="center"/>
          </w:tcPr>
          <w:p w14:paraId="607C8D1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20000</w:t>
            </w:r>
          </w:p>
        </w:tc>
        <w:tc>
          <w:tcPr>
            <w:tcW w:w="1252" w:type="dxa"/>
            <w:vAlign w:val="center"/>
          </w:tcPr>
          <w:p w14:paraId="5BE4E4F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40000</w:t>
            </w:r>
          </w:p>
        </w:tc>
      </w:tr>
      <w:tr w14:paraId="5693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5911092B">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022AE6C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打金砧</w:t>
            </w:r>
          </w:p>
        </w:tc>
        <w:tc>
          <w:tcPr>
            <w:tcW w:w="3806" w:type="dxa"/>
            <w:shd w:val="clear" w:color="auto" w:fill="auto"/>
            <w:vAlign w:val="center"/>
          </w:tcPr>
          <w:p w14:paraId="36D42C6F">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1）金属结构，经高温处理。</w:t>
            </w:r>
          </w:p>
          <w:p w14:paraId="67FB0422">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2）木座尺寸：≥400mm*165mm*42mm(长宽高)</w:t>
            </w:r>
          </w:p>
          <w:p w14:paraId="1943E882">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3)铁砧平均大小(約)：直径35-38 mm*高50mm（不含固定炳）</w:t>
            </w:r>
          </w:p>
        </w:tc>
        <w:tc>
          <w:tcPr>
            <w:tcW w:w="754" w:type="dxa"/>
            <w:vAlign w:val="center"/>
          </w:tcPr>
          <w:p w14:paraId="30C37C1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2</w:t>
            </w:r>
          </w:p>
        </w:tc>
        <w:tc>
          <w:tcPr>
            <w:tcW w:w="735" w:type="dxa"/>
            <w:vAlign w:val="center"/>
          </w:tcPr>
          <w:p w14:paraId="03E5464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套</w:t>
            </w:r>
          </w:p>
        </w:tc>
        <w:tc>
          <w:tcPr>
            <w:tcW w:w="1320" w:type="dxa"/>
            <w:vAlign w:val="center"/>
          </w:tcPr>
          <w:p w14:paraId="2D11DB2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20000</w:t>
            </w:r>
          </w:p>
        </w:tc>
        <w:tc>
          <w:tcPr>
            <w:tcW w:w="1252" w:type="dxa"/>
            <w:vAlign w:val="center"/>
          </w:tcPr>
          <w:p w14:paraId="4A035C3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40000</w:t>
            </w:r>
          </w:p>
        </w:tc>
      </w:tr>
      <w:tr w14:paraId="487A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7B6FE3EB">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59B51C2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打金液压机</w:t>
            </w:r>
          </w:p>
        </w:tc>
        <w:tc>
          <w:tcPr>
            <w:tcW w:w="3806" w:type="dxa"/>
            <w:vAlign w:val="center"/>
          </w:tcPr>
          <w:p w14:paraId="5E68EFCA">
            <w:pPr>
              <w:numPr>
                <w:ilvl w:val="0"/>
                <w:numId w:val="0"/>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用于打金模具压模</w:t>
            </w:r>
          </w:p>
          <w:p w14:paraId="5FE25399">
            <w:pPr>
              <w:numPr>
                <w:ilvl w:val="0"/>
                <w:numId w:val="7"/>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液压机尺寸：13.5*22cm</w:t>
            </w:r>
          </w:p>
          <w:p w14:paraId="65DAC424">
            <w:pPr>
              <w:numPr>
                <w:ilvl w:val="0"/>
                <w:numId w:val="7"/>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液压杆长度：21.5cm</w:t>
            </w:r>
          </w:p>
          <w:p w14:paraId="53EA3FE2">
            <w:pPr>
              <w:numPr>
                <w:ilvl w:val="0"/>
                <w:numId w:val="7"/>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配套千斤顶尺寸：20*47cm</w:t>
            </w:r>
          </w:p>
          <w:p w14:paraId="575EE577">
            <w:pPr>
              <w:numPr>
                <w:ilvl w:val="0"/>
                <w:numId w:val="7"/>
              </w:numPr>
              <w:adjustRightInd w:val="0"/>
              <w:snapToGrid w:val="0"/>
              <w:jc w:val="left"/>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硬钢板厚度≥3.2cm</w:t>
            </w:r>
          </w:p>
        </w:tc>
        <w:tc>
          <w:tcPr>
            <w:tcW w:w="754" w:type="dxa"/>
            <w:vAlign w:val="center"/>
          </w:tcPr>
          <w:p w14:paraId="259331F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1</w:t>
            </w:r>
          </w:p>
        </w:tc>
        <w:tc>
          <w:tcPr>
            <w:tcW w:w="735" w:type="dxa"/>
            <w:vAlign w:val="center"/>
          </w:tcPr>
          <w:p w14:paraId="68B408E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台</w:t>
            </w:r>
          </w:p>
        </w:tc>
        <w:tc>
          <w:tcPr>
            <w:tcW w:w="1320" w:type="dxa"/>
            <w:vAlign w:val="center"/>
          </w:tcPr>
          <w:p w14:paraId="1358509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3000</w:t>
            </w:r>
          </w:p>
        </w:tc>
        <w:tc>
          <w:tcPr>
            <w:tcW w:w="1252" w:type="dxa"/>
            <w:vAlign w:val="center"/>
          </w:tcPr>
          <w:p w14:paraId="26D38EE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3000</w:t>
            </w:r>
          </w:p>
        </w:tc>
      </w:tr>
      <w:tr w14:paraId="5F53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1D6F4924">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4A7E05B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打金模具</w:t>
            </w:r>
          </w:p>
        </w:tc>
        <w:tc>
          <w:tcPr>
            <w:tcW w:w="3806" w:type="dxa"/>
            <w:vAlign w:val="center"/>
          </w:tcPr>
          <w:p w14:paraId="1E87B61A">
            <w:pPr>
              <w:numPr>
                <w:ilvl w:val="0"/>
                <w:numId w:val="0"/>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用于配套打金压模</w:t>
            </w:r>
          </w:p>
          <w:p w14:paraId="56ACEA9C">
            <w:pPr>
              <w:numPr>
                <w:ilvl w:val="0"/>
                <w:numId w:val="0"/>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配套款式：</w:t>
            </w:r>
          </w:p>
          <w:p w14:paraId="655FB2A4">
            <w:pPr>
              <w:numPr>
                <w:ilvl w:val="0"/>
                <w:numId w:val="0"/>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1.祥云无事牌系列 5款</w:t>
            </w:r>
          </w:p>
          <w:p w14:paraId="6AAB80F1">
            <w:pPr>
              <w:numPr>
                <w:ilvl w:val="0"/>
                <w:numId w:val="0"/>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2.手镯珠头系列 3款</w:t>
            </w:r>
          </w:p>
          <w:p w14:paraId="5DD3D9E1">
            <w:pPr>
              <w:numPr>
                <w:ilvl w:val="0"/>
                <w:numId w:val="0"/>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3.手镯卷草纹系列 5款</w:t>
            </w:r>
          </w:p>
          <w:p w14:paraId="1A661DAE">
            <w:pPr>
              <w:numPr>
                <w:ilvl w:val="0"/>
                <w:numId w:val="0"/>
              </w:num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4.手镯紧箍咒纹 4款</w:t>
            </w:r>
          </w:p>
          <w:p w14:paraId="4E8722AA">
            <w:pPr>
              <w:pStyle w:val="8"/>
              <w:ind w:left="0" w:leftChars="0" w:firstLine="0" w:firstLineChars="0"/>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lang w:val="en-US" w:eastAsia="zh-CN"/>
              </w:rPr>
              <w:t>5.手镯紫金花纹 4款</w:t>
            </w:r>
          </w:p>
        </w:tc>
        <w:tc>
          <w:tcPr>
            <w:tcW w:w="754" w:type="dxa"/>
            <w:vAlign w:val="center"/>
          </w:tcPr>
          <w:p w14:paraId="74B03BC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1</w:t>
            </w:r>
          </w:p>
        </w:tc>
        <w:tc>
          <w:tcPr>
            <w:tcW w:w="735" w:type="dxa"/>
            <w:vAlign w:val="center"/>
          </w:tcPr>
          <w:p w14:paraId="2C38BE8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套</w:t>
            </w:r>
          </w:p>
        </w:tc>
        <w:tc>
          <w:tcPr>
            <w:tcW w:w="1320" w:type="dxa"/>
            <w:vAlign w:val="center"/>
          </w:tcPr>
          <w:p w14:paraId="5464128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63000</w:t>
            </w:r>
          </w:p>
        </w:tc>
        <w:tc>
          <w:tcPr>
            <w:tcW w:w="1252" w:type="dxa"/>
            <w:vAlign w:val="center"/>
          </w:tcPr>
          <w:p w14:paraId="6903601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63000</w:t>
            </w:r>
          </w:p>
        </w:tc>
      </w:tr>
      <w:tr w14:paraId="1C2F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669F41E3">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7CA296C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器皿锻造砧</w:t>
            </w:r>
          </w:p>
        </w:tc>
        <w:tc>
          <w:tcPr>
            <w:tcW w:w="3806" w:type="dxa"/>
            <w:vAlign w:val="center"/>
          </w:tcPr>
          <w:p w14:paraId="16BF63C2">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1）器皿锻造砧23件套</w:t>
            </w:r>
          </w:p>
          <w:p w14:paraId="62C18145">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2）高碳钢整体锻造成型，经淬火生理耐敲击，有羊角形，墩形，梯形，圆锥形等。</w:t>
            </w:r>
          </w:p>
          <w:p w14:paraId="58EACAA2">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3）直径30mm-40mm</w:t>
            </w:r>
          </w:p>
          <w:p w14:paraId="04009E99">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4）多种形状造型铁砧，铁砧表面进行抛光处理，更耐磨。适合制作大型器皿</w:t>
            </w:r>
          </w:p>
          <w:p w14:paraId="3A901D6E">
            <w:pPr>
              <w:pStyle w:val="8"/>
              <w:ind w:firstLine="240" w:firstLineChars="100"/>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rPr>
              <w:drawing>
                <wp:inline distT="0" distB="0" distL="114300" distR="114300">
                  <wp:extent cx="1099185" cy="1055370"/>
                  <wp:effectExtent l="0" t="0" r="18415" b="11430"/>
                  <wp:docPr id="9" name="图片 56"/>
                  <wp:cNvGraphicFramePr/>
                  <a:graphic xmlns:a="http://schemas.openxmlformats.org/drawingml/2006/main">
                    <a:graphicData uri="http://schemas.openxmlformats.org/drawingml/2006/picture">
                      <pic:pic xmlns:pic="http://schemas.openxmlformats.org/drawingml/2006/picture">
                        <pic:nvPicPr>
                          <pic:cNvPr id="9" name="图片 56"/>
                          <pic:cNvPicPr/>
                        </pic:nvPicPr>
                        <pic:blipFill>
                          <a:blip r:embed="rId4"/>
                          <a:stretch>
                            <a:fillRect/>
                          </a:stretch>
                        </pic:blipFill>
                        <pic:spPr>
                          <a:xfrm>
                            <a:off x="0" y="0"/>
                            <a:ext cx="1099185" cy="1055370"/>
                          </a:xfrm>
                          <a:prstGeom prst="rect">
                            <a:avLst/>
                          </a:prstGeom>
                          <a:noFill/>
                          <a:ln>
                            <a:noFill/>
                          </a:ln>
                        </pic:spPr>
                      </pic:pic>
                    </a:graphicData>
                  </a:graphic>
                </wp:inline>
              </w:drawing>
            </w:r>
          </w:p>
        </w:tc>
        <w:tc>
          <w:tcPr>
            <w:tcW w:w="754" w:type="dxa"/>
            <w:vAlign w:val="center"/>
          </w:tcPr>
          <w:p w14:paraId="5E231E1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3</w:t>
            </w:r>
          </w:p>
        </w:tc>
        <w:tc>
          <w:tcPr>
            <w:tcW w:w="735" w:type="dxa"/>
            <w:vAlign w:val="center"/>
          </w:tcPr>
          <w:p w14:paraId="26D36BE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套</w:t>
            </w:r>
          </w:p>
        </w:tc>
        <w:tc>
          <w:tcPr>
            <w:tcW w:w="1320" w:type="dxa"/>
            <w:vAlign w:val="center"/>
          </w:tcPr>
          <w:p w14:paraId="5147771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21000</w:t>
            </w:r>
          </w:p>
        </w:tc>
        <w:tc>
          <w:tcPr>
            <w:tcW w:w="1252" w:type="dxa"/>
            <w:vAlign w:val="center"/>
          </w:tcPr>
          <w:p w14:paraId="3DD1E74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63000</w:t>
            </w:r>
          </w:p>
        </w:tc>
      </w:tr>
      <w:tr w14:paraId="122C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1466CB30">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763A74B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起型杆</w:t>
            </w:r>
          </w:p>
        </w:tc>
        <w:tc>
          <w:tcPr>
            <w:tcW w:w="3806" w:type="dxa"/>
            <w:vAlign w:val="center"/>
          </w:tcPr>
          <w:p w14:paraId="438F088F">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1）高碳钢整体锻造成型，经淬火生理耐敲击</w:t>
            </w:r>
          </w:p>
          <w:p w14:paraId="45EC9FCD">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2）大铁砧尺寸：1300mmx30mmx30mm以上</w:t>
            </w:r>
          </w:p>
          <w:p w14:paraId="3E0A50BC">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3）木桩凳（木马）：长：80cm以上，厚：10cm以上，宽：20cm以上，高：40cm以上</w:t>
            </w:r>
          </w:p>
          <w:p w14:paraId="2D67D9C1">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4）可以自由替换，用于制作大型银器</w:t>
            </w:r>
          </w:p>
          <w:p w14:paraId="59E60E04">
            <w:pPr>
              <w:pStyle w:val="8"/>
              <w:ind w:firstLine="240" w:firstLineChars="100"/>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rPr>
              <w:drawing>
                <wp:inline distT="0" distB="0" distL="114300" distR="114300">
                  <wp:extent cx="1054100" cy="1232535"/>
                  <wp:effectExtent l="0" t="0" r="12700" b="12065"/>
                  <wp:docPr id="10"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7"/>
                          <pic:cNvPicPr>
                            <a:picLocks noChangeAspect="1"/>
                          </pic:cNvPicPr>
                        </pic:nvPicPr>
                        <pic:blipFill>
                          <a:blip r:embed="rId5"/>
                          <a:stretch>
                            <a:fillRect/>
                          </a:stretch>
                        </pic:blipFill>
                        <pic:spPr>
                          <a:xfrm>
                            <a:off x="0" y="0"/>
                            <a:ext cx="1054100" cy="1232535"/>
                          </a:xfrm>
                          <a:prstGeom prst="rect">
                            <a:avLst/>
                          </a:prstGeom>
                          <a:noFill/>
                          <a:ln>
                            <a:noFill/>
                          </a:ln>
                        </pic:spPr>
                      </pic:pic>
                    </a:graphicData>
                  </a:graphic>
                </wp:inline>
              </w:drawing>
            </w:r>
          </w:p>
        </w:tc>
        <w:tc>
          <w:tcPr>
            <w:tcW w:w="754" w:type="dxa"/>
            <w:vAlign w:val="center"/>
          </w:tcPr>
          <w:p w14:paraId="560C6B4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3</w:t>
            </w:r>
          </w:p>
        </w:tc>
        <w:tc>
          <w:tcPr>
            <w:tcW w:w="735" w:type="dxa"/>
            <w:vAlign w:val="center"/>
          </w:tcPr>
          <w:p w14:paraId="0EE884F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套</w:t>
            </w:r>
          </w:p>
        </w:tc>
        <w:tc>
          <w:tcPr>
            <w:tcW w:w="1320" w:type="dxa"/>
            <w:vAlign w:val="center"/>
          </w:tcPr>
          <w:p w14:paraId="568C00E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4500</w:t>
            </w:r>
          </w:p>
        </w:tc>
        <w:tc>
          <w:tcPr>
            <w:tcW w:w="1252" w:type="dxa"/>
            <w:vAlign w:val="center"/>
          </w:tcPr>
          <w:p w14:paraId="0BEDABF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13500</w:t>
            </w:r>
          </w:p>
        </w:tc>
      </w:tr>
      <w:tr w14:paraId="23EF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349F320C">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552DC84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工具架</w:t>
            </w:r>
          </w:p>
        </w:tc>
        <w:tc>
          <w:tcPr>
            <w:tcW w:w="3806" w:type="dxa"/>
            <w:vAlign w:val="center"/>
          </w:tcPr>
          <w:p w14:paraId="70E319EB">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1）全实木结构，厚50mm</w:t>
            </w:r>
          </w:p>
          <w:p w14:paraId="7186E665">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2）尺寸：≧长1200mm*宽500mm*高900mm以上</w:t>
            </w:r>
          </w:p>
          <w:p w14:paraId="47A920E7">
            <w:pPr>
              <w:adjustRightInd w:val="0"/>
              <w:snapToGrid w:val="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3）三层结构，底层呈板面，中间层分两格槽位，槽位宽60mm以上，上层分两格槽位，槽位宽40mm以上</w:t>
            </w:r>
          </w:p>
          <w:p w14:paraId="4177C582">
            <w:pPr>
              <w:pStyle w:val="8"/>
              <w:ind w:firstLine="240" w:firstLineChars="100"/>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sz w:val="24"/>
                <w:szCs w:val="24"/>
              </w:rPr>
              <w:drawing>
                <wp:inline distT="0" distB="0" distL="114300" distR="114300">
                  <wp:extent cx="889635" cy="939800"/>
                  <wp:effectExtent l="0" t="0" r="24765" b="0"/>
                  <wp:docPr id="11" name="图片 58"/>
                  <wp:cNvGraphicFramePr/>
                  <a:graphic xmlns:a="http://schemas.openxmlformats.org/drawingml/2006/main">
                    <a:graphicData uri="http://schemas.openxmlformats.org/drawingml/2006/picture">
                      <pic:pic xmlns:pic="http://schemas.openxmlformats.org/drawingml/2006/picture">
                        <pic:nvPicPr>
                          <pic:cNvPr id="11" name="图片 58"/>
                          <pic:cNvPicPr/>
                        </pic:nvPicPr>
                        <pic:blipFill>
                          <a:blip r:embed="rId6"/>
                          <a:stretch>
                            <a:fillRect/>
                          </a:stretch>
                        </pic:blipFill>
                        <pic:spPr>
                          <a:xfrm>
                            <a:off x="0" y="0"/>
                            <a:ext cx="889635" cy="939800"/>
                          </a:xfrm>
                          <a:prstGeom prst="rect">
                            <a:avLst/>
                          </a:prstGeom>
                          <a:noFill/>
                          <a:ln>
                            <a:noFill/>
                          </a:ln>
                        </pic:spPr>
                      </pic:pic>
                    </a:graphicData>
                  </a:graphic>
                </wp:inline>
              </w:drawing>
            </w:r>
          </w:p>
        </w:tc>
        <w:tc>
          <w:tcPr>
            <w:tcW w:w="754" w:type="dxa"/>
            <w:vAlign w:val="center"/>
          </w:tcPr>
          <w:p w14:paraId="52D2E20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1</w:t>
            </w:r>
          </w:p>
        </w:tc>
        <w:tc>
          <w:tcPr>
            <w:tcW w:w="735" w:type="dxa"/>
            <w:vAlign w:val="center"/>
          </w:tcPr>
          <w:p w14:paraId="386913A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台</w:t>
            </w:r>
          </w:p>
        </w:tc>
        <w:tc>
          <w:tcPr>
            <w:tcW w:w="1320" w:type="dxa"/>
            <w:vAlign w:val="center"/>
          </w:tcPr>
          <w:p w14:paraId="23C10DB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5400</w:t>
            </w:r>
          </w:p>
        </w:tc>
        <w:tc>
          <w:tcPr>
            <w:tcW w:w="1252" w:type="dxa"/>
            <w:vAlign w:val="center"/>
          </w:tcPr>
          <w:p w14:paraId="72BEB57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5400</w:t>
            </w:r>
          </w:p>
        </w:tc>
      </w:tr>
      <w:tr w14:paraId="5D41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1B43BB6F">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183E0C2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工作台</w:t>
            </w:r>
          </w:p>
        </w:tc>
        <w:tc>
          <w:tcPr>
            <w:tcW w:w="3806" w:type="dxa"/>
            <w:vAlign w:val="center"/>
          </w:tcPr>
          <w:p w14:paraId="7A797063">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金工工作台，用于日常竞赛训练和教学实训</w:t>
            </w:r>
          </w:p>
          <w:p w14:paraId="6DA8140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1.桌面面板实木材质，板厚：≥4.5cm，“U”形桌面。桌面铺盖≥35*26cm*3mm不锈钢板。</w:t>
            </w:r>
          </w:p>
          <w:p w14:paraId="4AB5797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2.钳子架尺寸24*12（cm）。</w:t>
            </w:r>
          </w:p>
          <w:p w14:paraId="2155DD0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3.大抽屉内包不锈钢板，可接金粉使用。</w:t>
            </w:r>
          </w:p>
          <w:p w14:paraId="46B479E0">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4.配不锈钢可调节升降吊机架,专用吊机杆,材质：不锈钢。配大台塞。配台灯</w:t>
            </w:r>
          </w:p>
          <w:p w14:paraId="5CBE23D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5.配升降靠背椅1把</w:t>
            </w:r>
          </w:p>
        </w:tc>
        <w:tc>
          <w:tcPr>
            <w:tcW w:w="754" w:type="dxa"/>
            <w:vAlign w:val="center"/>
          </w:tcPr>
          <w:p w14:paraId="2A904BD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40</w:t>
            </w:r>
          </w:p>
        </w:tc>
        <w:tc>
          <w:tcPr>
            <w:tcW w:w="735" w:type="dxa"/>
            <w:vAlign w:val="center"/>
          </w:tcPr>
          <w:p w14:paraId="3501CCF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台</w:t>
            </w:r>
          </w:p>
        </w:tc>
        <w:tc>
          <w:tcPr>
            <w:tcW w:w="1320" w:type="dxa"/>
            <w:vAlign w:val="center"/>
          </w:tcPr>
          <w:p w14:paraId="0C6F5CA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4600</w:t>
            </w:r>
          </w:p>
        </w:tc>
        <w:tc>
          <w:tcPr>
            <w:tcW w:w="1252" w:type="dxa"/>
            <w:vAlign w:val="center"/>
          </w:tcPr>
          <w:p w14:paraId="342BEA0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184000</w:t>
            </w:r>
          </w:p>
        </w:tc>
      </w:tr>
      <w:tr w14:paraId="5ABD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2" w:type="dxa"/>
            <w:vAlign w:val="center"/>
          </w:tcPr>
          <w:p w14:paraId="51F7956E">
            <w:pPr>
              <w:widowControl/>
              <w:numPr>
                <w:ilvl w:val="0"/>
                <w:numId w:val="3"/>
              </w:numPr>
              <w:autoSpaceDE w:val="0"/>
              <w:autoSpaceDN w:val="0"/>
              <w:adjustRightInd w:val="0"/>
              <w:snapToGrid w:val="0"/>
              <w:jc w:val="center"/>
              <w:textAlignment w:val="center"/>
              <w:rPr>
                <w:rFonts w:hint="eastAsia" w:asciiTheme="majorEastAsia" w:hAnsiTheme="majorEastAsia" w:eastAsiaTheme="majorEastAsia" w:cstheme="majorEastAsia"/>
                <w:b w:val="0"/>
                <w:bCs w:val="0"/>
                <w:color w:val="auto"/>
                <w:kern w:val="0"/>
                <w:sz w:val="24"/>
                <w:szCs w:val="24"/>
              </w:rPr>
            </w:pPr>
          </w:p>
        </w:tc>
        <w:tc>
          <w:tcPr>
            <w:tcW w:w="1380" w:type="dxa"/>
            <w:vAlign w:val="center"/>
          </w:tcPr>
          <w:p w14:paraId="6F4546A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环境改造</w:t>
            </w:r>
          </w:p>
        </w:tc>
        <w:tc>
          <w:tcPr>
            <w:tcW w:w="3806" w:type="dxa"/>
            <w:vAlign w:val="center"/>
          </w:tcPr>
          <w:p w14:paraId="76A8133E">
            <w:pPr>
              <w:keepNext w:val="0"/>
              <w:keepLines w:val="0"/>
              <w:pageBreakBefore w:val="0"/>
              <w:widowControl w:val="0"/>
              <w:numPr>
                <w:ilvl w:val="0"/>
                <w:numId w:val="8"/>
              </w:numPr>
              <w:kinsoku/>
              <w:wordWrap/>
              <w:overflowPunct/>
              <w:topLinePunct w:val="0"/>
              <w:autoSpaceDE/>
              <w:autoSpaceDN/>
              <w:bidi w:val="0"/>
              <w:adjustRightInd w:val="0"/>
              <w:snapToGrid w:val="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线路改造</w:t>
            </w:r>
          </w:p>
          <w:p w14:paraId="596AE635">
            <w:pPr>
              <w:keepNext w:val="0"/>
              <w:keepLines w:val="0"/>
              <w:pageBreakBefore w:val="0"/>
              <w:widowControl w:val="0"/>
              <w:numPr>
                <w:ilvl w:val="0"/>
                <w:numId w:val="8"/>
              </w:numPr>
              <w:kinsoku/>
              <w:wordWrap/>
              <w:overflowPunct/>
              <w:topLinePunct w:val="0"/>
              <w:autoSpaceDE/>
              <w:autoSpaceDN/>
              <w:bidi w:val="0"/>
              <w:adjustRightInd w:val="0"/>
              <w:snapToGrid w:val="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吊顶改造</w:t>
            </w:r>
          </w:p>
          <w:p w14:paraId="186E0CDD">
            <w:pPr>
              <w:keepNext w:val="0"/>
              <w:keepLines w:val="0"/>
              <w:pageBreakBefore w:val="0"/>
              <w:widowControl w:val="0"/>
              <w:numPr>
                <w:ilvl w:val="0"/>
                <w:numId w:val="8"/>
              </w:numPr>
              <w:kinsoku/>
              <w:wordWrap/>
              <w:overflowPunct/>
              <w:topLinePunct w:val="0"/>
              <w:autoSpaceDE/>
              <w:autoSpaceDN/>
              <w:bidi w:val="0"/>
              <w:adjustRightInd w:val="0"/>
              <w:snapToGrid w:val="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内部墙体氛围布置</w:t>
            </w:r>
          </w:p>
          <w:p w14:paraId="54D459DA">
            <w:pPr>
              <w:keepNext w:val="0"/>
              <w:keepLines w:val="0"/>
              <w:pageBreakBefore w:val="0"/>
              <w:widowControl w:val="0"/>
              <w:numPr>
                <w:ilvl w:val="0"/>
                <w:numId w:val="8"/>
              </w:numPr>
              <w:kinsoku/>
              <w:wordWrap/>
              <w:overflowPunct/>
              <w:topLinePunct w:val="0"/>
              <w:autoSpaceDE/>
              <w:autoSpaceDN/>
              <w:bidi w:val="0"/>
              <w:adjustRightInd w:val="0"/>
              <w:snapToGrid w:val="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储存柜定制</w:t>
            </w:r>
          </w:p>
        </w:tc>
        <w:tc>
          <w:tcPr>
            <w:tcW w:w="754" w:type="dxa"/>
            <w:vAlign w:val="center"/>
          </w:tcPr>
          <w:p w14:paraId="4FB6FA6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735" w:type="dxa"/>
            <w:vAlign w:val="center"/>
          </w:tcPr>
          <w:p w14:paraId="593EFF6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间</w:t>
            </w:r>
          </w:p>
        </w:tc>
        <w:tc>
          <w:tcPr>
            <w:tcW w:w="1320" w:type="dxa"/>
            <w:vAlign w:val="center"/>
          </w:tcPr>
          <w:p w14:paraId="0A39FB2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96000</w:t>
            </w:r>
          </w:p>
        </w:tc>
        <w:tc>
          <w:tcPr>
            <w:tcW w:w="1252" w:type="dxa"/>
            <w:vAlign w:val="center"/>
          </w:tcPr>
          <w:p w14:paraId="476798D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96000</w:t>
            </w:r>
          </w:p>
        </w:tc>
      </w:tr>
    </w:tbl>
    <w:p w14:paraId="11193A5B">
      <w:pPr>
        <w:pStyle w:val="13"/>
        <w:spacing w:line="360" w:lineRule="auto"/>
        <w:ind w:firstLine="482"/>
        <w:rPr>
          <w:rFonts w:ascii="宋体" w:hAnsi="宋体"/>
          <w:b/>
          <w:bCs/>
          <w:sz w:val="24"/>
          <w:szCs w:val="24"/>
        </w:rPr>
      </w:pPr>
      <w:r>
        <w:rPr>
          <w:rFonts w:hint="eastAsia" w:ascii="宋体" w:hAnsi="宋体"/>
          <w:b/>
          <w:bCs/>
          <w:sz w:val="24"/>
          <w:szCs w:val="24"/>
        </w:rPr>
        <w:t>（五）供应商资格条件</w:t>
      </w:r>
      <w:bookmarkEnd w:id="8"/>
    </w:p>
    <w:p w14:paraId="371155D6">
      <w:pPr>
        <w:widowControl/>
        <w:spacing w:line="360" w:lineRule="auto"/>
        <w:ind w:firstLine="600"/>
        <w:jc w:val="left"/>
        <w:rPr>
          <w:rFonts w:ascii="宋体" w:hAnsi="宋体" w:cs="仿宋"/>
          <w:sz w:val="24"/>
          <w:szCs w:val="24"/>
        </w:rPr>
      </w:pPr>
      <w:r>
        <w:rPr>
          <w:rFonts w:hint="eastAsia" w:ascii="宋体" w:hAnsi="宋体" w:cs="仿宋"/>
          <w:sz w:val="24"/>
          <w:szCs w:val="24"/>
        </w:rPr>
        <w:t>1.基本要求：</w:t>
      </w:r>
    </w:p>
    <w:p w14:paraId="561EF55A">
      <w:pPr>
        <w:widowControl/>
        <w:spacing w:line="360" w:lineRule="auto"/>
        <w:ind w:firstLine="600"/>
        <w:jc w:val="left"/>
        <w:rPr>
          <w:rFonts w:ascii="宋体" w:hAnsi="宋体" w:cs="仿宋"/>
          <w:sz w:val="24"/>
          <w:szCs w:val="24"/>
        </w:rPr>
      </w:pPr>
      <w:r>
        <w:rPr>
          <w:rFonts w:hint="eastAsia" w:ascii="宋体" w:hAnsi="宋体" w:cs="仿宋"/>
          <w:sz w:val="24"/>
          <w:szCs w:val="24"/>
        </w:rPr>
        <w:t>满足《中华人民共和国政府采购法》第二十二条规定</w:t>
      </w:r>
    </w:p>
    <w:p w14:paraId="1623ECC0">
      <w:pPr>
        <w:widowControl/>
        <w:spacing w:line="360" w:lineRule="auto"/>
        <w:ind w:firstLine="600"/>
        <w:jc w:val="left"/>
        <w:rPr>
          <w:rFonts w:ascii="宋体" w:hAnsi="宋体" w:cs="仿宋"/>
          <w:sz w:val="24"/>
          <w:szCs w:val="24"/>
        </w:rPr>
      </w:pPr>
      <w:r>
        <w:rPr>
          <w:rFonts w:hint="eastAsia" w:ascii="宋体" w:hAnsi="宋体" w:cs="仿宋"/>
          <w:sz w:val="24"/>
          <w:szCs w:val="24"/>
        </w:rPr>
        <w:t>2.特定资格要求：</w:t>
      </w:r>
    </w:p>
    <w:p w14:paraId="1BCE2A88">
      <w:pPr>
        <w:widowControl/>
        <w:spacing w:line="360" w:lineRule="auto"/>
        <w:ind w:firstLine="600"/>
        <w:jc w:val="left"/>
        <w:rPr>
          <w:rFonts w:ascii="宋体" w:hAnsi="宋体" w:cs="仿宋"/>
          <w:sz w:val="24"/>
          <w:szCs w:val="24"/>
        </w:rPr>
      </w:pPr>
      <w:r>
        <w:rPr>
          <w:rFonts w:hint="eastAsia" w:ascii="宋体" w:hAnsi="宋体" w:cs="仿宋"/>
          <w:sz w:val="24"/>
          <w:szCs w:val="24"/>
        </w:rPr>
        <w:t>3.落实政府采购政策的要求：政府强制采购节能产品、支持创新、绿色发展、鼓励环保产品、扶持福利企业、促进残疾人就业、促进中小企业发展、支持监狱和戒毒企业等。</w:t>
      </w:r>
    </w:p>
    <w:p w14:paraId="605B7CED">
      <w:pPr>
        <w:pStyle w:val="13"/>
        <w:spacing w:line="360" w:lineRule="auto"/>
        <w:ind w:firstLine="482"/>
        <w:rPr>
          <w:rFonts w:ascii="宋体" w:hAnsi="宋体"/>
          <w:b/>
          <w:bCs/>
          <w:sz w:val="24"/>
          <w:szCs w:val="24"/>
        </w:rPr>
      </w:pPr>
      <w:bookmarkStart w:id="9" w:name="_Toc13060"/>
      <w:r>
        <w:rPr>
          <w:rFonts w:hint="eastAsia" w:ascii="宋体" w:hAnsi="宋体"/>
          <w:b/>
          <w:bCs/>
          <w:sz w:val="24"/>
          <w:szCs w:val="24"/>
        </w:rPr>
        <w:t>（六）采购方式</w:t>
      </w:r>
      <w:bookmarkEnd w:id="9"/>
    </w:p>
    <w:p w14:paraId="05903674">
      <w:pPr>
        <w:widowControl/>
        <w:spacing w:line="360" w:lineRule="auto"/>
        <w:ind w:firstLine="600"/>
        <w:jc w:val="left"/>
        <w:rPr>
          <w:rFonts w:ascii="宋体" w:hAnsi="宋体" w:cs="仿宋"/>
          <w:b/>
          <w:sz w:val="24"/>
          <w:szCs w:val="24"/>
        </w:rPr>
      </w:pPr>
      <w:bookmarkStart w:id="10" w:name="_Toc12064"/>
      <w:r>
        <w:rPr>
          <w:rFonts w:hint="eastAsia" w:ascii="宋体" w:hAnsi="宋体" w:cs="仿宋"/>
          <w:b/>
          <w:sz w:val="24"/>
          <w:szCs w:val="24"/>
        </w:rPr>
        <w:t>□公开招标（适用法定情形）</w:t>
      </w:r>
    </w:p>
    <w:p w14:paraId="5C4C1A82">
      <w:pPr>
        <w:widowControl/>
        <w:spacing w:line="360" w:lineRule="auto"/>
        <w:ind w:firstLine="601"/>
        <w:jc w:val="left"/>
        <w:rPr>
          <w:rFonts w:ascii="宋体" w:hAnsi="宋体" w:cs="仿宋"/>
          <w:sz w:val="24"/>
          <w:szCs w:val="24"/>
        </w:rPr>
      </w:pPr>
      <w:r>
        <w:rPr>
          <w:rFonts w:hint="eastAsia" w:ascii="宋体" w:hAnsi="宋体" w:cs="仿宋"/>
          <w:sz w:val="24"/>
          <w:szCs w:val="24"/>
        </w:rPr>
        <w:t>□达到国家公开招标限额标准的采购项目；</w:t>
      </w:r>
    </w:p>
    <w:p w14:paraId="3D1DD885">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□采购需求客观、明确且规格、标准统一的采购项目，如通用设备、物业管理等；</w:t>
      </w:r>
    </w:p>
    <w:p w14:paraId="648DC383">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14:paraId="5FA50943">
      <w:pPr>
        <w:widowControl/>
        <w:spacing w:line="360" w:lineRule="auto"/>
        <w:ind w:firstLine="600"/>
        <w:jc w:val="left"/>
        <w:rPr>
          <w:rFonts w:ascii="宋体" w:hAnsi="宋体" w:cs="仿宋"/>
          <w:sz w:val="24"/>
          <w:szCs w:val="24"/>
        </w:rPr>
      </w:pPr>
      <w:r>
        <w:rPr>
          <w:rFonts w:hint="eastAsia" w:ascii="宋体" w:hAnsi="宋体" w:cs="仿宋"/>
          <w:b/>
          <w:sz w:val="24"/>
          <w:szCs w:val="24"/>
          <w:lang w:eastAsia="zh-CN"/>
        </w:rPr>
        <w:t>☑</w:t>
      </w:r>
      <w:r>
        <w:rPr>
          <w:rFonts w:hint="eastAsia" w:ascii="宋体" w:hAnsi="宋体" w:cs="仿宋"/>
          <w:b/>
          <w:sz w:val="24"/>
          <w:szCs w:val="24"/>
        </w:rPr>
        <w:t>竞争性磋商（符合情形）</w:t>
      </w:r>
    </w:p>
    <w:p w14:paraId="627A3ED7">
      <w:pPr>
        <w:widowControl/>
        <w:spacing w:line="360" w:lineRule="auto"/>
        <w:ind w:firstLine="600"/>
        <w:jc w:val="left"/>
        <w:rPr>
          <w:rFonts w:ascii="宋体" w:hAnsi="宋体" w:cs="仿宋"/>
          <w:sz w:val="24"/>
          <w:szCs w:val="24"/>
        </w:rPr>
      </w:pPr>
      <w:r>
        <w:rPr>
          <w:rFonts w:hint="eastAsia" w:ascii="宋体" w:hAnsi="宋体" w:cs="仿宋"/>
          <w:sz w:val="24"/>
          <w:szCs w:val="24"/>
        </w:rPr>
        <w:t>□政府购买服务项目；</w:t>
      </w:r>
    </w:p>
    <w:p w14:paraId="63FD595E">
      <w:pPr>
        <w:widowControl/>
        <w:spacing w:line="360" w:lineRule="auto"/>
        <w:ind w:firstLine="600"/>
        <w:jc w:val="left"/>
        <w:rPr>
          <w:rFonts w:ascii="宋体" w:hAnsi="宋体" w:cs="仿宋"/>
          <w:sz w:val="24"/>
          <w:szCs w:val="24"/>
        </w:rPr>
      </w:pPr>
      <w:bookmarkStart w:id="19" w:name="_GoBack"/>
      <w:bookmarkEnd w:id="19"/>
      <w:r>
        <w:rPr>
          <w:rFonts w:hint="eastAsia" w:ascii="宋体" w:hAnsi="宋体" w:cs="仿宋"/>
          <w:sz w:val="24"/>
          <w:szCs w:val="24"/>
          <w:lang w:eastAsia="zh-CN"/>
        </w:rPr>
        <w:t>☑</w:t>
      </w:r>
      <w:r>
        <w:rPr>
          <w:rFonts w:hint="eastAsia" w:ascii="宋体" w:hAnsi="宋体" w:cs="仿宋"/>
          <w:sz w:val="24"/>
          <w:szCs w:val="24"/>
        </w:rPr>
        <w:t>技术复杂或者性质特殊，不能确定详细规格或者具体要求的；</w:t>
      </w:r>
    </w:p>
    <w:p w14:paraId="4301C406">
      <w:pPr>
        <w:widowControl/>
        <w:spacing w:line="360" w:lineRule="auto"/>
        <w:ind w:firstLine="600"/>
        <w:jc w:val="left"/>
        <w:rPr>
          <w:rFonts w:ascii="宋体" w:hAnsi="宋体" w:cs="仿宋"/>
          <w:sz w:val="24"/>
          <w:szCs w:val="24"/>
        </w:rPr>
      </w:pPr>
      <w:r>
        <w:rPr>
          <w:rFonts w:hint="eastAsia" w:ascii="宋体" w:hAnsi="宋体" w:cs="仿宋"/>
          <w:sz w:val="24"/>
          <w:szCs w:val="24"/>
        </w:rPr>
        <w:t>□因艺术品采购、专利、专有技术或者服务的时间、数量事先不能确定等原因不能事先计算出价格总额的；</w:t>
      </w:r>
    </w:p>
    <w:p w14:paraId="3C2D5354">
      <w:pPr>
        <w:widowControl/>
        <w:spacing w:line="360" w:lineRule="auto"/>
        <w:ind w:firstLine="600"/>
        <w:jc w:val="left"/>
        <w:rPr>
          <w:rFonts w:ascii="宋体" w:hAnsi="宋体" w:cs="仿宋"/>
          <w:sz w:val="24"/>
          <w:szCs w:val="24"/>
        </w:rPr>
      </w:pPr>
      <w:r>
        <w:rPr>
          <w:rFonts w:hint="eastAsia" w:ascii="宋体" w:hAnsi="宋体" w:cs="仿宋"/>
          <w:sz w:val="24"/>
          <w:szCs w:val="24"/>
        </w:rPr>
        <w:t>□市场竞争不充分的科研项目，以及需要扶持的科技成果转化项目；</w:t>
      </w:r>
    </w:p>
    <w:p w14:paraId="129FEB6A">
      <w:pPr>
        <w:widowControl/>
        <w:spacing w:line="360" w:lineRule="auto"/>
        <w:ind w:firstLine="600"/>
        <w:jc w:val="left"/>
        <w:rPr>
          <w:rFonts w:ascii="宋体" w:hAnsi="宋体" w:cs="仿宋"/>
          <w:sz w:val="24"/>
          <w:szCs w:val="24"/>
        </w:rPr>
      </w:pPr>
      <w:r>
        <w:rPr>
          <w:rFonts w:hint="eastAsia" w:ascii="宋体" w:hAnsi="宋体" w:cs="仿宋"/>
          <w:sz w:val="24"/>
          <w:szCs w:val="24"/>
        </w:rPr>
        <w:t>□按照招标投标法及其实施条例必须进行招标的工程建设项目以外的工程建设项目。</w:t>
      </w:r>
    </w:p>
    <w:p w14:paraId="31F91BE8">
      <w:pPr>
        <w:widowControl/>
        <w:spacing w:line="360" w:lineRule="auto"/>
        <w:ind w:firstLine="600"/>
        <w:jc w:val="left"/>
        <w:rPr>
          <w:rFonts w:ascii="宋体" w:hAnsi="宋体" w:cs="仿宋"/>
          <w:b/>
          <w:sz w:val="24"/>
          <w:szCs w:val="24"/>
        </w:rPr>
      </w:pPr>
      <w:r>
        <w:rPr>
          <w:rFonts w:hint="eastAsia" w:ascii="宋体" w:hAnsi="宋体" w:cs="仿宋"/>
          <w:b/>
          <w:sz w:val="24"/>
          <w:szCs w:val="24"/>
        </w:rPr>
        <w:t>□竞争性谈判（适用情形）</w:t>
      </w:r>
    </w:p>
    <w:p w14:paraId="67EAC42A">
      <w:pPr>
        <w:widowControl/>
        <w:spacing w:line="360" w:lineRule="auto"/>
        <w:ind w:firstLine="600"/>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14:paraId="629A3561">
      <w:pPr>
        <w:widowControl/>
        <w:spacing w:line="360" w:lineRule="auto"/>
        <w:ind w:firstLine="600"/>
        <w:jc w:val="left"/>
        <w:rPr>
          <w:rFonts w:ascii="宋体" w:hAnsi="宋体" w:cs="仿宋"/>
          <w:sz w:val="24"/>
          <w:szCs w:val="24"/>
        </w:rPr>
      </w:pPr>
      <w:r>
        <w:rPr>
          <w:rFonts w:hint="eastAsia" w:ascii="宋体" w:hAnsi="宋体" w:cs="仿宋"/>
          <w:sz w:val="24"/>
          <w:szCs w:val="24"/>
        </w:rPr>
        <w:t>□不能完全确定客观指标，需由供应商提供设计方案、解决方案或者组织方案的采购项目，如首购订购、设计服务、政府和社会资本合作等。</w:t>
      </w:r>
    </w:p>
    <w:p w14:paraId="7A49B195">
      <w:pPr>
        <w:pStyle w:val="13"/>
        <w:spacing w:line="360" w:lineRule="auto"/>
        <w:ind w:firstLine="482"/>
        <w:rPr>
          <w:rFonts w:ascii="宋体" w:hAnsi="宋体" w:cs="仿宋"/>
          <w:b/>
          <w:sz w:val="24"/>
          <w:szCs w:val="24"/>
        </w:rPr>
      </w:pPr>
      <w:r>
        <w:rPr>
          <w:rFonts w:hint="eastAsia" w:ascii="宋体" w:hAnsi="宋体"/>
          <w:b/>
          <w:sz w:val="24"/>
          <w:szCs w:val="24"/>
        </w:rPr>
        <w:t>□单一来源</w:t>
      </w:r>
      <w:r>
        <w:rPr>
          <w:rFonts w:hint="eastAsia" w:ascii="宋体" w:hAnsi="宋体" w:cs="仿宋"/>
          <w:b/>
          <w:sz w:val="24"/>
          <w:szCs w:val="24"/>
        </w:rPr>
        <w:t>（适用情形）</w:t>
      </w:r>
    </w:p>
    <w:p w14:paraId="11096CE2">
      <w:pPr>
        <w:pStyle w:val="7"/>
        <w:spacing w:before="0" w:beforeAutospacing="0" w:after="0" w:afterAutospacing="0" w:line="360" w:lineRule="auto"/>
        <w:ind w:firstLine="480" w:firstLineChars="200"/>
        <w:jc w:val="both"/>
        <w:textAlignment w:val="baseline"/>
      </w:pPr>
      <w:r>
        <w:rPr>
          <w:rFonts w:hint="eastAsia"/>
        </w:rPr>
        <w:t>□只能从唯一供应商处采购的；</w:t>
      </w:r>
    </w:p>
    <w:p w14:paraId="083D06F2">
      <w:pPr>
        <w:pStyle w:val="7"/>
        <w:spacing w:before="0" w:beforeAutospacing="0" w:after="0" w:afterAutospacing="0" w:line="360" w:lineRule="auto"/>
        <w:ind w:firstLine="480" w:firstLineChars="200"/>
        <w:jc w:val="both"/>
        <w:textAlignment w:val="baseline"/>
      </w:pPr>
      <w:r>
        <w:rPr>
          <w:rFonts w:hint="eastAsia"/>
        </w:rPr>
        <w:t>□发生了不可预见的紧急情况不能从其他供应商处采购的；</w:t>
      </w:r>
    </w:p>
    <w:p w14:paraId="2F183D9D">
      <w:pPr>
        <w:pStyle w:val="7"/>
        <w:spacing w:before="0" w:beforeAutospacing="0" w:after="0" w:afterAutospacing="0" w:line="360" w:lineRule="auto"/>
        <w:ind w:firstLine="480" w:firstLineChars="200"/>
        <w:jc w:val="both"/>
        <w:textAlignment w:val="baseline"/>
      </w:pPr>
      <w:r>
        <w:rPr>
          <w:rFonts w:hint="eastAsia"/>
        </w:rPr>
        <w:t>□必须保证原有采购项目一致性或者服务配套的要求，需要继续从原供应商处添购，且添购资金总额不超过原合同采购金额百分之十的。</w:t>
      </w:r>
    </w:p>
    <w:p w14:paraId="48D315FF">
      <w:pPr>
        <w:pStyle w:val="13"/>
        <w:spacing w:line="360" w:lineRule="auto"/>
        <w:ind w:firstLine="482"/>
        <w:rPr>
          <w:rFonts w:ascii="宋体" w:hAnsi="宋体"/>
          <w:sz w:val="24"/>
          <w:szCs w:val="24"/>
        </w:rPr>
      </w:pPr>
      <w:bookmarkStart w:id="11" w:name="_Hlk76973202"/>
      <w:r>
        <w:rPr>
          <w:rFonts w:hint="eastAsia" w:ascii="宋体" w:hAnsi="宋体"/>
          <w:b/>
          <w:sz w:val="24"/>
          <w:szCs w:val="24"/>
        </w:rPr>
        <w:t>□</w:t>
      </w:r>
      <w:bookmarkEnd w:id="11"/>
      <w:r>
        <w:rPr>
          <w:rFonts w:hint="eastAsia" w:ascii="宋体" w:hAnsi="宋体"/>
          <w:b/>
          <w:sz w:val="24"/>
          <w:szCs w:val="24"/>
        </w:rPr>
        <w:t>询价（适用情形）：</w:t>
      </w:r>
      <w:r>
        <w:rPr>
          <w:rFonts w:hint="eastAsia" w:ascii="宋体" w:hAnsi="宋体"/>
          <w:sz w:val="24"/>
          <w:szCs w:val="24"/>
        </w:rPr>
        <w:t>采购需求客观、明确且规格、标准统一</w:t>
      </w:r>
      <w:r>
        <w:rPr>
          <w:rFonts w:hint="eastAsia" w:ascii="宋体" w:hAnsi="宋体" w:cs="仿宋"/>
          <w:sz w:val="24"/>
          <w:szCs w:val="24"/>
        </w:rPr>
        <w:t>如通用设备、物业管理等</w:t>
      </w:r>
      <w:r>
        <w:rPr>
          <w:rFonts w:hint="eastAsia" w:ascii="宋体" w:hAnsi="宋体"/>
          <w:sz w:val="24"/>
          <w:szCs w:val="24"/>
        </w:rPr>
        <w:t>。</w:t>
      </w:r>
    </w:p>
    <w:p w14:paraId="20D6BE50">
      <w:pPr>
        <w:pStyle w:val="13"/>
        <w:spacing w:line="360" w:lineRule="auto"/>
        <w:ind w:firstLine="482"/>
        <w:rPr>
          <w:rFonts w:ascii="宋体" w:hAnsi="宋体"/>
          <w:sz w:val="24"/>
          <w:szCs w:val="24"/>
        </w:rPr>
      </w:pPr>
      <w:r>
        <w:rPr>
          <w:rFonts w:hint="eastAsia" w:ascii="宋体" w:hAnsi="宋体"/>
          <w:b/>
          <w:sz w:val="24"/>
          <w:szCs w:val="24"/>
        </w:rPr>
        <w:t>□核准：</w:t>
      </w:r>
      <w:r>
        <w:rPr>
          <w:rFonts w:hint="eastAsia" w:ascii="宋体" w:hAnsi="宋体"/>
          <w:sz w:val="24"/>
          <w:szCs w:val="24"/>
        </w:rPr>
        <w:t>达到公开招标数额标准，因特殊情况需要采用公开招标以外采购方式，已依法获得批准。</w:t>
      </w:r>
    </w:p>
    <w:p w14:paraId="72C830CD">
      <w:pPr>
        <w:pStyle w:val="13"/>
        <w:spacing w:line="360" w:lineRule="auto"/>
        <w:ind w:firstLine="361" w:firstLineChars="150"/>
        <w:rPr>
          <w:rFonts w:ascii="宋体" w:hAnsi="宋体"/>
          <w:b/>
          <w:bCs/>
          <w:sz w:val="24"/>
          <w:szCs w:val="24"/>
        </w:rPr>
      </w:pPr>
      <w:r>
        <w:rPr>
          <w:rFonts w:hint="eastAsia" w:ascii="宋体" w:hAnsi="宋体"/>
          <w:b/>
          <w:bCs/>
          <w:sz w:val="24"/>
          <w:szCs w:val="24"/>
        </w:rPr>
        <w:t>（七）竞争范围</w:t>
      </w:r>
      <w:bookmarkEnd w:id="10"/>
    </w:p>
    <w:p w14:paraId="0FF53221">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公开邀请</w:t>
      </w:r>
    </w:p>
    <w:p w14:paraId="4CEDC953">
      <w:pPr>
        <w:widowControl/>
        <w:spacing w:line="360" w:lineRule="auto"/>
        <w:ind w:firstLine="600"/>
        <w:jc w:val="left"/>
        <w:rPr>
          <w:rFonts w:ascii="宋体" w:hAnsi="宋体" w:cs="仿宋"/>
          <w:sz w:val="24"/>
          <w:szCs w:val="24"/>
        </w:rPr>
      </w:pPr>
      <w:r>
        <w:rPr>
          <w:rFonts w:hint="eastAsia" w:ascii="宋体" w:hAnsi="宋体" w:cs="仿宋"/>
          <w:sz w:val="24"/>
          <w:szCs w:val="24"/>
        </w:rPr>
        <w:t>□有限邀请（随机</w:t>
      </w:r>
      <w:r>
        <w:rPr>
          <w:rFonts w:ascii="宋体" w:hAnsi="宋体" w:cs="仿宋"/>
          <w:sz w:val="24"/>
          <w:szCs w:val="24"/>
        </w:rPr>
        <w:t>抽取或书面推荐</w:t>
      </w:r>
      <w:r>
        <w:rPr>
          <w:rFonts w:hint="eastAsia" w:ascii="宋体" w:hAnsi="宋体" w:cs="仿宋"/>
          <w:sz w:val="24"/>
          <w:szCs w:val="24"/>
        </w:rPr>
        <w:t>）</w:t>
      </w:r>
    </w:p>
    <w:p w14:paraId="526B9E74">
      <w:pPr>
        <w:widowControl/>
        <w:spacing w:line="360" w:lineRule="auto"/>
        <w:ind w:firstLine="600"/>
        <w:jc w:val="left"/>
        <w:rPr>
          <w:rFonts w:ascii="宋体" w:hAnsi="宋体" w:cs="仿宋"/>
          <w:sz w:val="24"/>
          <w:szCs w:val="24"/>
        </w:rPr>
      </w:pPr>
      <w:r>
        <w:rPr>
          <w:rFonts w:hint="eastAsia" w:ascii="宋体" w:hAnsi="宋体" w:cs="仿宋"/>
          <w:sz w:val="24"/>
          <w:szCs w:val="24"/>
        </w:rPr>
        <w:t>□唯一供应商采购</w:t>
      </w:r>
    </w:p>
    <w:p w14:paraId="7D69281B">
      <w:pPr>
        <w:pStyle w:val="13"/>
        <w:spacing w:line="360" w:lineRule="auto"/>
        <w:ind w:firstLine="482"/>
        <w:rPr>
          <w:rFonts w:ascii="宋体" w:hAnsi="宋体"/>
          <w:b/>
          <w:bCs/>
          <w:sz w:val="24"/>
          <w:szCs w:val="24"/>
        </w:rPr>
      </w:pPr>
      <w:bookmarkStart w:id="12" w:name="_Toc6783"/>
      <w:r>
        <w:rPr>
          <w:rFonts w:hint="eastAsia" w:ascii="宋体" w:hAnsi="宋体"/>
          <w:b/>
          <w:bCs/>
          <w:sz w:val="24"/>
          <w:szCs w:val="24"/>
        </w:rPr>
        <w:t>（八）评审规则</w:t>
      </w:r>
      <w:bookmarkEnd w:id="12"/>
    </w:p>
    <w:p w14:paraId="0DCD49BC">
      <w:pPr>
        <w:widowControl/>
        <w:spacing w:line="360" w:lineRule="auto"/>
        <w:ind w:firstLine="600"/>
        <w:jc w:val="left"/>
        <w:rPr>
          <w:rFonts w:hint="default" w:ascii="宋体" w:hAnsi="宋体" w:eastAsia="宋体" w:cs="仿宋"/>
          <w:i/>
          <w:sz w:val="24"/>
          <w:szCs w:val="24"/>
          <w:lang w:val="en-US" w:eastAsia="zh-CN"/>
        </w:rPr>
      </w:pPr>
      <w:bookmarkStart w:id="13" w:name="_Toc7678"/>
      <w:r>
        <w:rPr>
          <w:rFonts w:hint="eastAsia" w:ascii="宋体" w:hAnsi="宋体" w:cs="仿宋"/>
          <w:sz w:val="24"/>
          <w:szCs w:val="24"/>
          <w:lang w:eastAsia="zh-CN"/>
        </w:rPr>
        <w:t>☑</w:t>
      </w:r>
      <w:r>
        <w:rPr>
          <w:rFonts w:hint="eastAsia" w:ascii="宋体" w:hAnsi="宋体" w:cs="仿宋"/>
          <w:sz w:val="24"/>
          <w:szCs w:val="24"/>
        </w:rPr>
        <w:t>综合评分法</w:t>
      </w:r>
      <w:r>
        <w:rPr>
          <w:rFonts w:hint="eastAsia" w:ascii="宋体" w:hAnsi="宋体" w:cs="仿宋"/>
          <w:sz w:val="24"/>
          <w:szCs w:val="24"/>
          <w:u w:val="single"/>
          <w:lang w:val="en-US" w:eastAsia="zh-CN"/>
        </w:rPr>
        <w:t xml:space="preserve"> 为避免采购到低档次、售后服务无保障的产品 </w:t>
      </w:r>
    </w:p>
    <w:p w14:paraId="43D74292">
      <w:pPr>
        <w:widowControl/>
        <w:spacing w:line="360" w:lineRule="auto"/>
        <w:ind w:firstLine="600"/>
        <w:jc w:val="left"/>
        <w:rPr>
          <w:rFonts w:hint="eastAsia" w:ascii="宋体" w:hAnsi="宋体" w:cs="仿宋"/>
          <w:i/>
          <w:sz w:val="24"/>
          <w:szCs w:val="24"/>
          <w:u w:val="single"/>
        </w:rPr>
      </w:pPr>
      <w:r>
        <w:rPr>
          <w:rFonts w:hint="eastAsia" w:ascii="宋体" w:hAnsi="宋体" w:cs="仿宋"/>
          <w:sz w:val="24"/>
          <w:szCs w:val="24"/>
        </w:rPr>
        <w:t>□最低评标价法</w:t>
      </w:r>
    </w:p>
    <w:p w14:paraId="5BA72B8E">
      <w:pPr>
        <w:widowControl/>
        <w:spacing w:line="360" w:lineRule="auto"/>
        <w:ind w:firstLine="600"/>
        <w:jc w:val="left"/>
        <w:rPr>
          <w:rFonts w:hint="eastAsia" w:ascii="宋体" w:hAnsi="宋体" w:cs="仿宋"/>
          <w:color w:val="auto"/>
          <w:sz w:val="24"/>
          <w:szCs w:val="24"/>
        </w:rPr>
      </w:pPr>
      <w:r>
        <w:rPr>
          <w:rFonts w:hint="eastAsia" w:ascii="宋体" w:hAnsi="宋体" w:cs="仿宋"/>
          <w:color w:val="auto"/>
          <w:sz w:val="24"/>
          <w:szCs w:val="24"/>
        </w:rPr>
        <w:t>（</w:t>
      </w:r>
      <w:r>
        <w:rPr>
          <w:rFonts w:hint="eastAsia" w:ascii="宋体" w:hAnsi="宋体" w:cs="仿宋"/>
          <w:color w:val="auto"/>
          <w:sz w:val="24"/>
          <w:szCs w:val="24"/>
          <w:lang w:val="en-US" w:eastAsia="zh-CN"/>
        </w:rPr>
        <w:t>附件1 评审规则</w:t>
      </w:r>
      <w:r>
        <w:rPr>
          <w:rFonts w:hint="eastAsia" w:ascii="宋体" w:hAnsi="宋体" w:cs="仿宋"/>
          <w:color w:val="auto"/>
          <w:sz w:val="24"/>
          <w:szCs w:val="24"/>
        </w:rPr>
        <w:t>）</w:t>
      </w:r>
    </w:p>
    <w:p w14:paraId="4F3FFDA1">
      <w:pPr>
        <w:pStyle w:val="4"/>
        <w:spacing w:line="360" w:lineRule="auto"/>
        <w:ind w:firstLine="472" w:firstLineChars="196"/>
        <w:rPr>
          <w:rFonts w:ascii="黑体" w:hAnsi="黑体" w:eastAsia="黑体"/>
          <w:sz w:val="24"/>
          <w:szCs w:val="24"/>
        </w:rPr>
      </w:pPr>
      <w:r>
        <w:rPr>
          <w:rFonts w:hint="eastAsia" w:ascii="黑体" w:hAnsi="黑体" w:eastAsia="黑体"/>
          <w:sz w:val="24"/>
          <w:szCs w:val="24"/>
        </w:rPr>
        <w:t>二、合同管理安排</w:t>
      </w:r>
      <w:bookmarkEnd w:id="13"/>
    </w:p>
    <w:p w14:paraId="5A9D2A0B">
      <w:pPr>
        <w:pStyle w:val="13"/>
        <w:spacing w:line="360" w:lineRule="auto"/>
        <w:ind w:firstLine="482"/>
        <w:rPr>
          <w:rFonts w:ascii="宋体" w:hAnsi="宋体"/>
          <w:b/>
          <w:bCs/>
          <w:sz w:val="24"/>
          <w:szCs w:val="24"/>
        </w:rPr>
      </w:pPr>
      <w:bookmarkStart w:id="14" w:name="_Toc21661"/>
      <w:r>
        <w:rPr>
          <w:rFonts w:hint="eastAsia" w:ascii="宋体" w:hAnsi="宋体"/>
          <w:b/>
          <w:bCs/>
          <w:sz w:val="24"/>
          <w:szCs w:val="24"/>
        </w:rPr>
        <w:t>（一）合同类型</w:t>
      </w:r>
      <w:bookmarkEnd w:id="14"/>
    </w:p>
    <w:p w14:paraId="49F3A4C2">
      <w:pPr>
        <w:widowControl/>
        <w:spacing w:line="360" w:lineRule="auto"/>
        <w:ind w:firstLine="600"/>
        <w:jc w:val="left"/>
        <w:rPr>
          <w:rFonts w:ascii="宋体" w:hAnsi="宋体" w:cs="仿宋"/>
          <w:sz w:val="24"/>
          <w:szCs w:val="24"/>
        </w:rPr>
      </w:pPr>
      <w:r>
        <w:rPr>
          <w:rFonts w:hint="eastAsia" w:ascii="宋体" w:hAnsi="宋体" w:cs="仿宋"/>
          <w:sz w:val="24"/>
          <w:szCs w:val="24"/>
        </w:rPr>
        <w:t>按照民法典第九章规定的典型合同。</w:t>
      </w:r>
    </w:p>
    <w:p w14:paraId="75C3AA8A">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ascii="宋体" w:hAnsi="宋体" w:cs="仿宋"/>
          <w:sz w:val="24"/>
          <w:szCs w:val="24"/>
        </w:rPr>
        <w:t>买卖合同</w:t>
      </w:r>
    </w:p>
    <w:p w14:paraId="1C1E0D33">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供用电、水、气、热力合同</w:t>
      </w:r>
    </w:p>
    <w:p w14:paraId="19ACE1C2">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租赁合同</w:t>
      </w:r>
    </w:p>
    <w:p w14:paraId="335E83E7">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14:paraId="339CBE20">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技术合同</w:t>
      </w:r>
    </w:p>
    <w:p w14:paraId="4FC404FA">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委托合同</w:t>
      </w:r>
    </w:p>
    <w:p w14:paraId="6D63850D">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物业服务合同</w:t>
      </w:r>
    </w:p>
    <w:p w14:paraId="5ACAD332">
      <w:pPr>
        <w:pStyle w:val="13"/>
        <w:spacing w:line="360" w:lineRule="auto"/>
        <w:ind w:firstLine="482"/>
        <w:rPr>
          <w:rFonts w:ascii="宋体" w:hAnsi="宋体"/>
          <w:b/>
          <w:bCs/>
          <w:sz w:val="24"/>
          <w:szCs w:val="24"/>
        </w:rPr>
      </w:pPr>
      <w:bookmarkStart w:id="15" w:name="_Toc30617"/>
      <w:r>
        <w:rPr>
          <w:rFonts w:hint="eastAsia" w:ascii="宋体" w:hAnsi="宋体"/>
          <w:b/>
          <w:bCs/>
          <w:sz w:val="24"/>
          <w:szCs w:val="24"/>
        </w:rPr>
        <w:t>（二）定价方式</w:t>
      </w:r>
      <w:bookmarkEnd w:id="15"/>
    </w:p>
    <w:p w14:paraId="75A23E42">
      <w:pPr>
        <w:widowControl/>
        <w:spacing w:line="360" w:lineRule="auto"/>
        <w:ind w:firstLine="600"/>
        <w:jc w:val="left"/>
        <w:rPr>
          <w:rFonts w:ascii="宋体" w:hAnsi="宋体" w:cs="仿宋"/>
          <w:sz w:val="24"/>
          <w:szCs w:val="24"/>
        </w:rPr>
      </w:pPr>
      <w:r>
        <w:rPr>
          <w:rFonts w:hint="eastAsia" w:ascii="宋体" w:hAnsi="宋体" w:cs="仿宋"/>
          <w:sz w:val="24"/>
          <w:szCs w:val="24"/>
        </w:rPr>
        <w:t>□固定总价</w:t>
      </w:r>
    </w:p>
    <w:p w14:paraId="513D2CBC">
      <w:pPr>
        <w:widowControl/>
        <w:spacing w:line="360" w:lineRule="auto"/>
        <w:ind w:firstLine="600"/>
        <w:jc w:val="left"/>
        <w:rPr>
          <w:rFonts w:ascii="宋体" w:hAnsi="宋体" w:cs="仿宋"/>
          <w:sz w:val="24"/>
          <w:szCs w:val="24"/>
        </w:rPr>
      </w:pPr>
      <w:r>
        <w:rPr>
          <w:rFonts w:hint="eastAsia" w:ascii="宋体" w:hAnsi="宋体" w:cs="仿宋"/>
          <w:sz w:val="24"/>
          <w:szCs w:val="24"/>
        </w:rPr>
        <w:t>□固定单价</w:t>
      </w:r>
    </w:p>
    <w:p w14:paraId="25F42EDA">
      <w:pPr>
        <w:widowControl/>
        <w:spacing w:line="360" w:lineRule="auto"/>
        <w:ind w:firstLine="600"/>
        <w:jc w:val="left"/>
        <w:rPr>
          <w:rFonts w:ascii="宋体" w:hAnsi="宋体" w:cs="仿宋"/>
          <w:sz w:val="24"/>
          <w:szCs w:val="24"/>
        </w:rPr>
      </w:pPr>
      <w:r>
        <w:rPr>
          <w:rFonts w:hint="eastAsia" w:ascii="宋体" w:hAnsi="宋体" w:cs="仿宋"/>
          <w:sz w:val="24"/>
          <w:szCs w:val="24"/>
        </w:rPr>
        <w:t>□成本补偿</w:t>
      </w:r>
    </w:p>
    <w:p w14:paraId="2BE4E746">
      <w:pPr>
        <w:widowControl/>
        <w:spacing w:line="360" w:lineRule="auto"/>
        <w:ind w:firstLine="600"/>
        <w:jc w:val="left"/>
        <w:rPr>
          <w:rFonts w:ascii="宋体" w:hAnsi="宋体" w:cs="仿宋"/>
          <w:sz w:val="24"/>
          <w:szCs w:val="24"/>
        </w:rPr>
      </w:pPr>
      <w:r>
        <w:rPr>
          <w:rFonts w:hint="eastAsia" w:ascii="宋体" w:hAnsi="宋体" w:cs="仿宋"/>
          <w:sz w:val="24"/>
          <w:szCs w:val="24"/>
        </w:rPr>
        <w:t>□绩效激励</w:t>
      </w:r>
    </w:p>
    <w:p w14:paraId="2662D51D">
      <w:pPr>
        <w:widowControl/>
        <w:spacing w:line="360" w:lineRule="auto"/>
        <w:ind w:firstLine="600"/>
        <w:jc w:val="left"/>
        <w:rPr>
          <w:rFonts w:ascii="宋体" w:hAnsi="宋体" w:cs="仿宋"/>
          <w:sz w:val="24"/>
          <w:szCs w:val="24"/>
        </w:rPr>
      </w:pPr>
      <w:r>
        <w:rPr>
          <w:rFonts w:hint="eastAsia" w:ascii="宋体" w:hAnsi="宋体" w:cs="仿宋"/>
          <w:sz w:val="24"/>
          <w:szCs w:val="24"/>
        </w:rPr>
        <w:t>□多种方式组合定价</w:t>
      </w:r>
    </w:p>
    <w:p w14:paraId="19CB23B3">
      <w:pPr>
        <w:pStyle w:val="13"/>
        <w:spacing w:line="360" w:lineRule="auto"/>
        <w:ind w:firstLine="482"/>
        <w:rPr>
          <w:rFonts w:ascii="宋体" w:hAnsi="宋体"/>
          <w:b/>
          <w:bCs/>
          <w:sz w:val="24"/>
          <w:szCs w:val="24"/>
        </w:rPr>
      </w:pPr>
      <w:bookmarkStart w:id="16" w:name="_Toc23433"/>
      <w:r>
        <w:rPr>
          <w:rFonts w:hint="eastAsia" w:ascii="宋体" w:hAnsi="宋体"/>
          <w:b/>
          <w:bCs/>
          <w:sz w:val="24"/>
          <w:szCs w:val="24"/>
        </w:rPr>
        <w:t>（三）合同</w:t>
      </w:r>
      <w:bookmarkEnd w:id="16"/>
      <w:r>
        <w:rPr>
          <w:rFonts w:hint="eastAsia" w:ascii="宋体" w:hAnsi="宋体"/>
          <w:b/>
          <w:bCs/>
          <w:sz w:val="24"/>
          <w:szCs w:val="24"/>
        </w:rPr>
        <w:t>范本</w:t>
      </w:r>
    </w:p>
    <w:p w14:paraId="115D91F3">
      <w:pPr>
        <w:widowControl/>
        <w:spacing w:line="360" w:lineRule="auto"/>
        <w:ind w:firstLine="600"/>
        <w:jc w:val="left"/>
        <w:rPr>
          <w:rFonts w:ascii="宋体" w:hAnsi="宋体" w:cs="仿宋"/>
          <w:sz w:val="24"/>
          <w:szCs w:val="24"/>
        </w:rPr>
      </w:pPr>
      <w:r>
        <w:rPr>
          <w:rFonts w:hint="eastAsia" w:ascii="宋体" w:hAnsi="宋体" w:cs="仿宋"/>
          <w:sz w:val="24"/>
          <w:szCs w:val="24"/>
        </w:rPr>
        <w:t>□设备(软件)购销合同（内贸）</w:t>
      </w:r>
    </w:p>
    <w:p w14:paraId="035D179F">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家具(实验台)制作安装购销合同</w:t>
      </w:r>
    </w:p>
    <w:p w14:paraId="4553712E">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校医院药品和试剂耗材采购合同</w:t>
      </w:r>
    </w:p>
    <w:p w14:paraId="70A8AF91">
      <w:pPr>
        <w:widowControl/>
        <w:spacing w:line="360" w:lineRule="auto"/>
        <w:ind w:firstLine="600"/>
        <w:jc w:val="left"/>
        <w:rPr>
          <w:rFonts w:ascii="宋体" w:hAnsi="宋体" w:cs="仿宋"/>
          <w:sz w:val="24"/>
          <w:szCs w:val="24"/>
        </w:rPr>
      </w:pPr>
      <w:r>
        <w:rPr>
          <w:rFonts w:hint="eastAsia" w:ascii="宋体" w:hAnsi="宋体" w:cs="仿宋"/>
          <w:sz w:val="24"/>
          <w:szCs w:val="24"/>
        </w:rPr>
        <w:t>□进口设备购置</w:t>
      </w:r>
      <w:r>
        <w:rPr>
          <w:rFonts w:ascii="宋体" w:hAnsi="宋体" w:cs="仿宋"/>
          <w:sz w:val="24"/>
          <w:szCs w:val="24"/>
        </w:rPr>
        <w:t>合同</w:t>
      </w:r>
    </w:p>
    <w:p w14:paraId="58A63EDF">
      <w:pPr>
        <w:widowControl/>
        <w:spacing w:line="360" w:lineRule="auto"/>
        <w:ind w:firstLine="600"/>
        <w:jc w:val="left"/>
        <w:rPr>
          <w:rFonts w:ascii="宋体" w:hAnsi="宋体" w:cs="仿宋"/>
          <w:sz w:val="24"/>
          <w:szCs w:val="24"/>
        </w:rPr>
      </w:pPr>
      <w:r>
        <w:rPr>
          <w:rFonts w:hint="eastAsia" w:ascii="宋体" w:hAnsi="宋体" w:cs="仿宋"/>
          <w:sz w:val="24"/>
          <w:szCs w:val="24"/>
        </w:rPr>
        <w:t>□服务</w:t>
      </w:r>
      <w:r>
        <w:rPr>
          <w:rFonts w:ascii="宋体" w:hAnsi="宋体" w:cs="仿宋"/>
          <w:sz w:val="24"/>
          <w:szCs w:val="24"/>
        </w:rPr>
        <w:t>合同</w:t>
      </w:r>
    </w:p>
    <w:p w14:paraId="511B9117">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14:paraId="72AAD715">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设备采购及</w:t>
      </w:r>
      <w:r>
        <w:rPr>
          <w:rFonts w:ascii="宋体" w:hAnsi="宋体" w:cs="仿宋"/>
          <w:sz w:val="24"/>
          <w:szCs w:val="24"/>
        </w:rPr>
        <w:t>安装合同</w:t>
      </w:r>
    </w:p>
    <w:p w14:paraId="1CE1C548">
      <w:pPr>
        <w:widowControl/>
        <w:spacing w:line="360" w:lineRule="auto"/>
        <w:ind w:firstLine="600"/>
        <w:jc w:val="left"/>
        <w:rPr>
          <w:rFonts w:ascii="宋体" w:hAnsi="宋体" w:cs="仿宋"/>
          <w:sz w:val="24"/>
          <w:szCs w:val="24"/>
        </w:rPr>
      </w:pPr>
      <w:r>
        <w:rPr>
          <w:rFonts w:hint="eastAsia" w:ascii="宋体" w:hAnsi="宋体" w:cs="仿宋"/>
          <w:sz w:val="24"/>
          <w:szCs w:val="24"/>
        </w:rPr>
        <w:t>□维修改造合同</w:t>
      </w:r>
    </w:p>
    <w:p w14:paraId="04938FD4">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信息化建设银校合作项目合同</w:t>
      </w:r>
    </w:p>
    <w:p w14:paraId="5D6BBFD9">
      <w:pPr>
        <w:pStyle w:val="13"/>
        <w:spacing w:line="360" w:lineRule="auto"/>
        <w:ind w:firstLine="482"/>
        <w:rPr>
          <w:rFonts w:ascii="宋体" w:hAnsi="宋体"/>
          <w:b/>
          <w:bCs/>
          <w:sz w:val="24"/>
          <w:szCs w:val="24"/>
        </w:rPr>
      </w:pPr>
      <w:bookmarkStart w:id="17" w:name="_Toc5882"/>
      <w:r>
        <w:rPr>
          <w:rFonts w:hint="eastAsia" w:ascii="宋体" w:hAnsi="宋体"/>
          <w:b/>
          <w:bCs/>
          <w:sz w:val="24"/>
          <w:szCs w:val="24"/>
        </w:rPr>
        <w:t>（五）风险管控措施</w:t>
      </w:r>
      <w:bookmarkEnd w:id="17"/>
    </w:p>
    <w:p w14:paraId="5BE8A53F">
      <w:pPr>
        <w:widowControl/>
        <w:spacing w:line="360" w:lineRule="auto"/>
        <w:ind w:firstLine="600"/>
        <w:jc w:val="left"/>
        <w:rPr>
          <w:rFonts w:ascii="宋体" w:hAnsi="宋体" w:cs="仿宋"/>
          <w:sz w:val="24"/>
          <w:szCs w:val="24"/>
        </w:rPr>
      </w:pPr>
      <w:r>
        <w:rPr>
          <w:rFonts w:hint="eastAsia" w:ascii="宋体" w:hAnsi="宋体" w:cs="仿宋"/>
          <w:sz w:val="24"/>
          <w:szCs w:val="24"/>
        </w:rPr>
        <w:t>1.主要风险因素的识别</w:t>
      </w:r>
    </w:p>
    <w:p w14:paraId="580ED608">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w:t>
      </w:r>
    </w:p>
    <w:p w14:paraId="31B2931F">
      <w:pPr>
        <w:widowControl/>
        <w:spacing w:line="360" w:lineRule="auto"/>
        <w:ind w:firstLine="600"/>
        <w:jc w:val="left"/>
        <w:rPr>
          <w:rFonts w:ascii="宋体" w:hAnsi="宋体" w:cs="仿宋"/>
          <w:sz w:val="24"/>
          <w:szCs w:val="24"/>
        </w:rPr>
      </w:pPr>
      <w:bookmarkStart w:id="18" w:name="_Hlk76974208"/>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bookmarkEnd w:id="18"/>
    </w:p>
    <w:p w14:paraId="2A4751EF">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w:t>
      </w:r>
    </w:p>
    <w:p w14:paraId="2E288469">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30AAE3E3">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w:t>
      </w:r>
    </w:p>
    <w:p w14:paraId="5A1F684C">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1AE5EFED">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w:t>
      </w:r>
    </w:p>
    <w:p w14:paraId="2FE92951">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50FA34DE">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w:t>
      </w:r>
    </w:p>
    <w:p w14:paraId="32ABC018">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1A0E4BD2">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w:t>
      </w:r>
    </w:p>
    <w:p w14:paraId="12014780">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47FA6E3D">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（7）损害国家利益和社会公共利益的风险等</w:t>
      </w:r>
    </w:p>
    <w:p w14:paraId="47C592D1">
      <w:pPr>
        <w:widowControl/>
        <w:spacing w:line="360" w:lineRule="auto"/>
        <w:ind w:firstLine="600"/>
        <w:jc w:val="left"/>
        <w:rPr>
          <w:rFonts w:ascii="宋体" w:hAnsi="宋体" w:cs="仿宋"/>
          <w:sz w:val="24"/>
          <w:szCs w:val="24"/>
        </w:rPr>
      </w:pP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7B2BD8B7">
      <w:pPr>
        <w:widowControl/>
        <w:spacing w:line="360" w:lineRule="auto"/>
        <w:ind w:firstLine="600"/>
        <w:jc w:val="left"/>
        <w:rPr>
          <w:rFonts w:ascii="宋体" w:hAnsi="宋体" w:cs="仿宋"/>
          <w:sz w:val="24"/>
          <w:szCs w:val="24"/>
        </w:rPr>
      </w:pPr>
      <w:r>
        <w:rPr>
          <w:rFonts w:hint="eastAsia" w:ascii="宋体" w:hAnsi="宋体" w:cs="仿宋"/>
          <w:sz w:val="24"/>
          <w:szCs w:val="24"/>
        </w:rPr>
        <w:t>2.存在风险事项的处置措施（根据风险情况选择）</w:t>
      </w:r>
    </w:p>
    <w:p w14:paraId="22FBBE05">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（1）国家政策变化风险处置措施</w:t>
      </w:r>
    </w:p>
    <w:p w14:paraId="656A143B">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（2）实施环境变化风险处置措施</w:t>
      </w:r>
    </w:p>
    <w:p w14:paraId="29F456AB">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（3）重大技术变化风险处置措施</w:t>
      </w:r>
    </w:p>
    <w:p w14:paraId="5DBC1877">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（4）预算项目调整风险处置措施</w:t>
      </w:r>
    </w:p>
    <w:p w14:paraId="55579BCF">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（5）质疑投诉影响采购进度风险处置措施</w:t>
      </w:r>
    </w:p>
    <w:p w14:paraId="7EFB5BD0">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（6）采购失败风险、不按规定签订或者履行合同风险处置措施</w:t>
      </w:r>
    </w:p>
    <w:p w14:paraId="08FAFE23">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（7）损害国家利益和社会公共利益的风险处置措施</w:t>
      </w:r>
    </w:p>
    <w:p w14:paraId="63D46CAB">
      <w:pPr>
        <w:pStyle w:val="8"/>
        <w:rPr>
          <w:rFonts w:hint="eastAsia" w:ascii="黑体" w:hAnsi="黑体" w:eastAsia="黑体" w:cs="黑体"/>
          <w:sz w:val="21"/>
          <w:szCs w:val="21"/>
          <w:lang w:val="en-US" w:eastAsia="zh-CN"/>
        </w:rPr>
      </w:pPr>
    </w:p>
    <w:p w14:paraId="6BBDC3B9">
      <w:pPr>
        <w:pStyle w:val="8"/>
        <w:rPr>
          <w:rFonts w:hint="eastAsia" w:ascii="黑体" w:hAnsi="黑体" w:eastAsia="黑体" w:cs="黑体"/>
          <w:sz w:val="21"/>
          <w:szCs w:val="21"/>
          <w:lang w:val="en-US" w:eastAsia="zh-CN"/>
        </w:rPr>
      </w:pPr>
    </w:p>
    <w:p w14:paraId="7246C93F">
      <w:pPr>
        <w:pStyle w:val="8"/>
        <w:rPr>
          <w:rFonts w:hint="eastAsia" w:ascii="黑体" w:hAnsi="黑体" w:eastAsia="黑体" w:cs="黑体"/>
          <w:sz w:val="21"/>
          <w:szCs w:val="21"/>
          <w:lang w:val="en-US" w:eastAsia="zh-CN"/>
        </w:rPr>
      </w:pPr>
    </w:p>
    <w:p w14:paraId="17939B28">
      <w:pPr>
        <w:pStyle w:val="8"/>
        <w:rPr>
          <w:rFonts w:hint="eastAsia" w:ascii="黑体" w:hAnsi="黑体" w:eastAsia="黑体" w:cs="黑体"/>
          <w:sz w:val="21"/>
          <w:szCs w:val="21"/>
          <w:lang w:val="en-US" w:eastAsia="zh-CN"/>
        </w:rPr>
      </w:pPr>
    </w:p>
    <w:p w14:paraId="1FD821CC">
      <w:pPr>
        <w:pStyle w:val="8"/>
        <w:rPr>
          <w:rFonts w:hint="eastAsia" w:ascii="黑体" w:hAnsi="黑体" w:eastAsia="黑体" w:cs="黑体"/>
          <w:sz w:val="21"/>
          <w:szCs w:val="21"/>
          <w:lang w:val="en-US" w:eastAsia="zh-CN"/>
        </w:rPr>
      </w:pPr>
    </w:p>
    <w:p w14:paraId="02E21F13">
      <w:pPr>
        <w:pStyle w:val="8"/>
        <w:rPr>
          <w:rFonts w:hint="eastAsia" w:ascii="黑体" w:hAnsi="黑体" w:eastAsia="黑体" w:cs="黑体"/>
          <w:sz w:val="21"/>
          <w:szCs w:val="21"/>
          <w:lang w:val="en-US" w:eastAsia="zh-CN"/>
        </w:rPr>
      </w:pPr>
    </w:p>
    <w:p w14:paraId="62DCC08E">
      <w:pPr>
        <w:pStyle w:val="8"/>
        <w:rPr>
          <w:rFonts w:hint="eastAsia" w:ascii="黑体" w:hAnsi="黑体" w:eastAsia="黑体" w:cs="黑体"/>
          <w:sz w:val="21"/>
          <w:szCs w:val="21"/>
          <w:lang w:val="en-US" w:eastAsia="zh-CN"/>
        </w:rPr>
      </w:pPr>
    </w:p>
    <w:p w14:paraId="3ACA9A08">
      <w:pPr>
        <w:pStyle w:val="8"/>
        <w:rPr>
          <w:rFonts w:hint="eastAsia" w:ascii="黑体" w:hAnsi="黑体" w:eastAsia="黑体" w:cs="黑体"/>
          <w:sz w:val="21"/>
          <w:szCs w:val="21"/>
          <w:lang w:val="en-US" w:eastAsia="zh-CN"/>
        </w:rPr>
      </w:pPr>
    </w:p>
    <w:p w14:paraId="2743B6D6">
      <w:pPr>
        <w:pStyle w:val="8"/>
        <w:rPr>
          <w:rFonts w:hint="eastAsia" w:ascii="黑体" w:hAnsi="黑体" w:eastAsia="黑体" w:cs="黑体"/>
          <w:sz w:val="21"/>
          <w:szCs w:val="21"/>
          <w:lang w:val="en-US" w:eastAsia="zh-CN"/>
        </w:rPr>
      </w:pPr>
    </w:p>
    <w:p w14:paraId="000DC086">
      <w:pPr>
        <w:pStyle w:val="8"/>
        <w:rPr>
          <w:rFonts w:hint="eastAsia" w:ascii="黑体" w:hAnsi="黑体" w:eastAsia="黑体" w:cs="黑体"/>
          <w:sz w:val="21"/>
          <w:szCs w:val="21"/>
          <w:lang w:val="en-US" w:eastAsia="zh-CN"/>
        </w:rPr>
      </w:pPr>
    </w:p>
    <w:p w14:paraId="6DC0308A">
      <w:pPr>
        <w:pStyle w:val="8"/>
        <w:ind w:left="0" w:leftChars="0" w:firstLine="0" w:firstLineChars="0"/>
        <w:rPr>
          <w:rFonts w:hint="eastAsia" w:ascii="黑体" w:hAnsi="黑体" w:eastAsia="黑体" w:cs="黑体"/>
          <w:sz w:val="21"/>
          <w:szCs w:val="21"/>
          <w:lang w:val="en-US" w:eastAsia="zh-CN"/>
        </w:rPr>
      </w:pPr>
    </w:p>
    <w:p w14:paraId="55A697A0">
      <w:pPr>
        <w:pStyle w:val="3"/>
        <w:numPr>
          <w:ilvl w:val="0"/>
          <w:numId w:val="0"/>
        </w:numPr>
        <w:spacing w:before="0" w:after="0" w:line="360" w:lineRule="auto"/>
        <w:ind w:leftChars="0"/>
        <w:rPr>
          <w:rFonts w:hint="eastAsia" w:ascii="宋体" w:hAnsi="宋体" w:eastAsia="宋体" w:cs="Arial"/>
          <w:color w:val="000000"/>
          <w:sz w:val="32"/>
          <w:lang w:val="en-US" w:eastAsia="zh-CN"/>
        </w:rPr>
      </w:pPr>
      <w:r>
        <w:rPr>
          <w:rFonts w:hint="eastAsia" w:ascii="宋体" w:hAnsi="宋体" w:eastAsia="宋体" w:cs="Arial"/>
          <w:color w:val="000000"/>
          <w:sz w:val="32"/>
          <w:lang w:val="en-US" w:eastAsia="zh-CN"/>
        </w:rPr>
        <w:t>附件1                   评审规则</w:t>
      </w:r>
    </w:p>
    <w:p w14:paraId="01797F0D">
      <w:pPr>
        <w:pStyle w:val="8"/>
        <w:rPr>
          <w:rFonts w:hint="default"/>
          <w:lang w:val="en-US" w:eastAsia="zh-CN"/>
        </w:rPr>
      </w:pPr>
    </w:p>
    <w:p w14:paraId="693CBDED">
      <w:pPr>
        <w:numPr>
          <w:ilvl w:val="0"/>
          <w:numId w:val="9"/>
        </w:numPr>
        <w:rPr>
          <w:rFonts w:hint="eastAsia"/>
          <w:color w:val="000000"/>
        </w:rPr>
      </w:pPr>
      <w:r>
        <w:rPr>
          <w:rFonts w:hint="eastAsia"/>
          <w:b/>
          <w:color w:val="000000"/>
        </w:rPr>
        <w:t>评标方法</w:t>
      </w:r>
      <w:r>
        <w:rPr>
          <w:rFonts w:hint="eastAsia"/>
          <w:b/>
          <w:bCs/>
          <w:color w:val="000000"/>
        </w:rPr>
        <w:t>：</w:t>
      </w:r>
      <w:r>
        <w:rPr>
          <w:rFonts w:hint="eastAsia"/>
          <w:color w:val="000000"/>
        </w:rPr>
        <w:t xml:space="preserve"> </w:t>
      </w:r>
      <w:r>
        <w:rPr>
          <w:rFonts w:hint="eastAsia"/>
          <w:i w:val="0"/>
          <w:iCs w:val="0"/>
          <w:color w:val="auto"/>
        </w:rPr>
        <w:t>综合评分法。</w:t>
      </w:r>
    </w:p>
    <w:p w14:paraId="1A0414C7">
      <w:pPr>
        <w:numPr>
          <w:ilvl w:val="0"/>
          <w:numId w:val="9"/>
        </w:numPr>
        <w:rPr>
          <w:rFonts w:hint="eastAsia"/>
          <w:b/>
          <w:bCs/>
          <w:color w:val="000000"/>
        </w:rPr>
      </w:pPr>
      <w:r>
        <w:rPr>
          <w:rFonts w:hint="eastAsia"/>
          <w:b/>
          <w:bCs/>
          <w:color w:val="000000"/>
        </w:rPr>
        <w:t>评标标准</w:t>
      </w:r>
    </w:p>
    <w:p w14:paraId="663EEC13">
      <w:pPr>
        <w:numPr>
          <w:ilvl w:val="0"/>
          <w:numId w:val="10"/>
        </w:numPr>
        <w:rPr>
          <w:rFonts w:hint="eastAsia"/>
          <w:i w:val="0"/>
          <w:iCs w:val="0"/>
          <w:color w:val="auto"/>
        </w:rPr>
      </w:pPr>
      <w:r>
        <w:rPr>
          <w:rFonts w:hint="eastAsia"/>
          <w:i w:val="0"/>
          <w:iCs w:val="0"/>
          <w:color w:val="auto"/>
        </w:rPr>
        <w:t>综合评分法，是指投标文件满足招标文件全部实质性要求且按照评审因素的量化指标评审得分最高的供应商为中标候选人。</w:t>
      </w:r>
    </w:p>
    <w:p w14:paraId="40B148A9">
      <w:pPr>
        <w:numPr>
          <w:ilvl w:val="0"/>
          <w:numId w:val="10"/>
        </w:numPr>
        <w:rPr>
          <w:rFonts w:hint="eastAsia"/>
          <w:color w:val="000000"/>
        </w:rPr>
      </w:pPr>
      <w:r>
        <w:rPr>
          <w:rFonts w:hint="eastAsia"/>
          <w:color w:val="000000"/>
        </w:rPr>
        <w:t>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334C5263">
      <w:pPr>
        <w:rPr>
          <w:rFonts w:hint="eastAsia"/>
          <w:color w:val="000000"/>
        </w:rPr>
      </w:pPr>
      <w:r>
        <w:rPr>
          <w:rFonts w:hint="eastAsia"/>
          <w:color w:val="000000"/>
        </w:rPr>
        <w:t>（3）各项评审因素的设置如下：</w:t>
      </w:r>
    </w:p>
    <w:p w14:paraId="766724B6">
      <w:pPr>
        <w:rPr>
          <w:rFonts w:hint="eastAsia"/>
          <w:b/>
          <w:bCs/>
          <w:color w:val="000000"/>
        </w:rPr>
      </w:pPr>
      <w:r>
        <w:rPr>
          <w:rFonts w:hint="default"/>
          <w:b/>
          <w:bCs/>
          <w:color w:val="000000"/>
        </w:rPr>
        <w:t>①</w:t>
      </w:r>
      <w:r>
        <w:rPr>
          <w:rFonts w:hint="eastAsia"/>
          <w:b/>
          <w:bCs/>
          <w:color w:val="000000"/>
          <w:lang w:val="en-US" w:eastAsia="zh-CN"/>
        </w:rPr>
        <w:t>价</w:t>
      </w:r>
      <w:r>
        <w:rPr>
          <w:rFonts w:hint="eastAsia"/>
          <w:b/>
          <w:bCs/>
          <w:color w:val="000000"/>
        </w:rPr>
        <w:t>格项（F1×A1）满分为</w:t>
      </w:r>
      <w:r>
        <w:rPr>
          <w:rFonts w:hint="eastAsia"/>
          <w:b/>
          <w:bCs/>
          <w:i w:val="0"/>
          <w:iCs w:val="0"/>
          <w:color w:val="auto"/>
          <w:u w:val="single"/>
          <w:lang w:val="en-US" w:eastAsia="zh-CN"/>
        </w:rPr>
        <w:t>30</w:t>
      </w:r>
      <w:r>
        <w:rPr>
          <w:rFonts w:hint="eastAsia"/>
          <w:b/>
          <w:bCs/>
          <w:color w:val="000000"/>
        </w:rPr>
        <w:t>分。</w:t>
      </w:r>
    </w:p>
    <w:p w14:paraId="49C33EE2">
      <w:pPr>
        <w:rPr>
          <w:rFonts w:hint="eastAsia"/>
          <w:color w:val="000000"/>
        </w:rPr>
      </w:pPr>
      <w:r>
        <w:rPr>
          <w:rFonts w:hint="eastAsia"/>
          <w:color w:val="000000"/>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14:paraId="0F12CCFE">
      <w:pPr>
        <w:rPr>
          <w:rFonts w:hint="eastAsia"/>
          <w:color w:val="000000"/>
        </w:rPr>
      </w:pPr>
      <w:r>
        <w:rPr>
          <w:rFonts w:hint="eastAsia"/>
          <w:color w:val="000000"/>
        </w:rPr>
        <w:t>b.价格扣除的规则如下：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6751"/>
      </w:tblGrid>
      <w:tr w14:paraId="36F8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14:paraId="2BFC8E62">
            <w:pPr>
              <w:rPr>
                <w:color w:val="000000"/>
              </w:rPr>
            </w:pPr>
            <w:r>
              <w:rPr>
                <w:rFonts w:hint="eastAsia"/>
                <w:color w:val="000000"/>
              </w:rPr>
              <w:t>评标项目</w:t>
            </w:r>
          </w:p>
        </w:tc>
        <w:tc>
          <w:tcPr>
            <w:tcW w:w="11514" w:type="dxa"/>
            <w:noWrap w:val="0"/>
            <w:vAlign w:val="top"/>
          </w:tcPr>
          <w:p w14:paraId="6B850974">
            <w:pPr>
              <w:rPr>
                <w:color w:val="000000"/>
              </w:rPr>
            </w:pPr>
            <w:r>
              <w:rPr>
                <w:rFonts w:hint="eastAsia"/>
                <w:color w:val="000000"/>
              </w:rPr>
              <w:t>评标方法</w:t>
            </w:r>
          </w:p>
        </w:tc>
      </w:tr>
      <w:tr w14:paraId="1E71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14:paraId="7AC6C3E7">
            <w:pPr>
              <w:rPr>
                <w:color w:val="auto"/>
              </w:rPr>
            </w:pPr>
            <w:r>
              <w:rPr>
                <w:rFonts w:hint="eastAsia"/>
                <w:color w:val="auto"/>
              </w:rPr>
              <w:t>小型、微型企业，监狱企业，残疾人</w:t>
            </w:r>
          </w:p>
        </w:tc>
        <w:tc>
          <w:tcPr>
            <w:tcW w:w="11514" w:type="dxa"/>
            <w:noWrap w:val="0"/>
            <w:vAlign w:val="top"/>
          </w:tcPr>
          <w:p w14:paraId="0938398B">
            <w:pPr>
              <w:rPr>
                <w:b w:val="0"/>
                <w:bCs w:val="0"/>
                <w:color w:val="auto"/>
              </w:rPr>
            </w:pPr>
            <w:r>
              <w:rPr>
                <w:b/>
                <w:bCs/>
                <w:color w:val="auto"/>
              </w:rPr>
              <w:t>1、对小型、微型企业产品（限货物）的价格给予</w:t>
            </w:r>
            <w:r>
              <w:rPr>
                <w:rFonts w:hint="eastAsia"/>
                <w:b/>
                <w:bCs/>
                <w:i/>
                <w:iCs/>
                <w:color w:val="auto"/>
                <w:lang w:val="en-US" w:eastAsia="zh-CN"/>
              </w:rPr>
              <w:t>10</w:t>
            </w:r>
            <w:r>
              <w:rPr>
                <w:b/>
                <w:bCs/>
                <w:i/>
                <w:iCs/>
                <w:color w:val="auto"/>
              </w:rPr>
              <w:t>%</w:t>
            </w:r>
            <w:r>
              <w:rPr>
                <w:b/>
                <w:bCs/>
                <w:color w:val="auto"/>
              </w:rPr>
              <w:t>的扣除。 2、对监狱企业产品（限货物）的价格给予</w:t>
            </w:r>
            <w:r>
              <w:rPr>
                <w:rFonts w:hint="eastAsia"/>
                <w:b/>
                <w:bCs/>
                <w:i/>
                <w:iCs/>
                <w:color w:val="auto"/>
                <w:u w:val="single"/>
                <w:lang w:val="en-US" w:eastAsia="zh-CN"/>
              </w:rPr>
              <w:t>10</w:t>
            </w:r>
            <w:r>
              <w:rPr>
                <w:b/>
                <w:bCs/>
                <w:i/>
                <w:iCs/>
                <w:color w:val="auto"/>
                <w:u w:val="single"/>
              </w:rPr>
              <w:t>%</w:t>
            </w:r>
            <w:r>
              <w:rPr>
                <w:b/>
                <w:bCs/>
                <w:color w:val="auto"/>
              </w:rPr>
              <w:t>的扣除。 3、残疾人福利性单位提供本单位制造的货物、承担的工程或服务，或提供其他残疾人福利性单位制造的货物（不包括使用非残疾人福利性单位注册商标的货物），对相应货物、工程或服务的价格给予</w:t>
            </w:r>
            <w:r>
              <w:rPr>
                <w:rFonts w:hint="eastAsia"/>
                <w:b/>
                <w:bCs/>
                <w:i/>
                <w:iCs/>
                <w:color w:val="auto"/>
                <w:lang w:val="en-US" w:eastAsia="zh-CN"/>
              </w:rPr>
              <w:t>10</w:t>
            </w:r>
            <w:r>
              <w:rPr>
                <w:b/>
                <w:bCs/>
                <w:i/>
                <w:iCs/>
                <w:color w:val="auto"/>
              </w:rPr>
              <w:t>%</w:t>
            </w:r>
            <w:r>
              <w:rPr>
                <w:b/>
                <w:bCs/>
                <w:color w:val="auto"/>
              </w:rPr>
              <w:t>的扣除</w:t>
            </w:r>
            <w:r>
              <w:rPr>
                <w:rFonts w:hint="eastAsia"/>
                <w:b/>
                <w:bCs/>
                <w:color w:val="auto"/>
                <w:lang w:eastAsia="zh-CN"/>
              </w:rPr>
              <w:t>。</w:t>
            </w:r>
            <w:r>
              <w:rPr>
                <w:rFonts w:hint="eastAsia"/>
                <w:b/>
                <w:bCs/>
                <w:color w:val="auto"/>
                <w:lang w:val="en-US" w:eastAsia="zh-CN"/>
              </w:rPr>
              <w:t>3、对于</w:t>
            </w:r>
            <w:r>
              <w:rPr>
                <w:rFonts w:hint="eastAsia"/>
                <w:b/>
                <w:bCs/>
                <w:color w:val="auto"/>
              </w:rPr>
              <w:t>节能产品、环境标志产品</w:t>
            </w:r>
            <w:r>
              <w:rPr>
                <w:b/>
                <w:bCs/>
                <w:color w:val="auto"/>
              </w:rPr>
              <w:t>的价格给予</w:t>
            </w:r>
            <w:r>
              <w:rPr>
                <w:rFonts w:hint="eastAsia"/>
                <w:b/>
                <w:bCs/>
                <w:i/>
                <w:iCs/>
                <w:color w:val="auto"/>
                <w:lang w:val="en-US" w:eastAsia="zh-CN"/>
              </w:rPr>
              <w:t>10%</w:t>
            </w:r>
            <w:r>
              <w:rPr>
                <w:b/>
                <w:bCs/>
                <w:color w:val="auto"/>
              </w:rPr>
              <w:t>的扣除。</w:t>
            </w:r>
          </w:p>
        </w:tc>
      </w:tr>
    </w:tbl>
    <w:p w14:paraId="061D23C3">
      <w:pPr>
        <w:rPr>
          <w:rFonts w:hint="eastAsia"/>
          <w:b/>
          <w:bCs/>
          <w:color w:val="auto"/>
        </w:rPr>
      </w:pPr>
      <w:r>
        <w:rPr>
          <w:rFonts w:hint="eastAsia"/>
          <w:b/>
          <w:bCs/>
          <w:color w:val="auto"/>
        </w:rPr>
        <w:t>②技术项（F2×A2）满分为</w:t>
      </w:r>
      <w:r>
        <w:rPr>
          <w:rFonts w:hint="eastAsia"/>
          <w:b/>
          <w:bCs/>
          <w:color w:val="auto"/>
          <w:u w:val="single"/>
          <w:lang w:val="en-US" w:eastAsia="zh-CN"/>
        </w:rPr>
        <w:t>57</w:t>
      </w:r>
      <w:r>
        <w:rPr>
          <w:rFonts w:hint="eastAsia"/>
          <w:b/>
          <w:bCs/>
          <w:color w:val="auto"/>
        </w:rPr>
        <w:t>分。</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912"/>
        <w:gridCol w:w="5654"/>
      </w:tblGrid>
      <w:tr w14:paraId="7D77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noWrap w:val="0"/>
            <w:vAlign w:val="top"/>
          </w:tcPr>
          <w:p w14:paraId="6867F06A">
            <w:pPr>
              <w:rPr>
                <w:rFonts w:hint="eastAsia"/>
                <w:color w:val="000000"/>
              </w:rPr>
            </w:pPr>
            <w:r>
              <w:rPr>
                <w:rFonts w:hint="eastAsia"/>
                <w:color w:val="000000"/>
              </w:rPr>
              <w:t>评标项目</w:t>
            </w:r>
          </w:p>
        </w:tc>
        <w:tc>
          <w:tcPr>
            <w:tcW w:w="912" w:type="dxa"/>
            <w:noWrap w:val="0"/>
            <w:vAlign w:val="top"/>
          </w:tcPr>
          <w:p w14:paraId="664C64CA">
            <w:pPr>
              <w:ind w:left="0" w:leftChars="0" w:firstLine="0" w:firstLineChars="0"/>
              <w:rPr>
                <w:rFonts w:hint="eastAsia"/>
                <w:color w:val="000000"/>
              </w:rPr>
            </w:pPr>
            <w:r>
              <w:rPr>
                <w:rFonts w:hint="eastAsia"/>
                <w:color w:val="000000"/>
              </w:rPr>
              <w:t>评标分值</w:t>
            </w:r>
          </w:p>
        </w:tc>
        <w:tc>
          <w:tcPr>
            <w:tcW w:w="5654" w:type="dxa"/>
            <w:noWrap w:val="0"/>
            <w:vAlign w:val="top"/>
          </w:tcPr>
          <w:p w14:paraId="640028C0">
            <w:pPr>
              <w:rPr>
                <w:rFonts w:hint="eastAsia"/>
                <w:color w:val="000000"/>
              </w:rPr>
            </w:pPr>
            <w:r>
              <w:rPr>
                <w:rFonts w:hint="eastAsia"/>
                <w:color w:val="000000"/>
              </w:rPr>
              <w:t>评标方法描述</w:t>
            </w:r>
          </w:p>
        </w:tc>
      </w:tr>
      <w:tr w14:paraId="0170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noWrap w:val="0"/>
            <w:vAlign w:val="top"/>
          </w:tcPr>
          <w:p w14:paraId="27751624">
            <w:pPr>
              <w:rPr>
                <w:rFonts w:hint="default" w:ascii="Times New Roman" w:hAnsi="Times New Roman" w:eastAsia="仿宋_GB2312" w:cs="Times New Roman"/>
                <w:kern w:val="2"/>
                <w:sz w:val="21"/>
                <w:lang w:val="en-US" w:eastAsia="zh-CN" w:bidi="ar-SA"/>
              </w:rPr>
            </w:pPr>
            <w:r>
              <w:rPr>
                <w:rFonts w:hint="eastAsia"/>
              </w:rPr>
              <w:t>1.技术响应</w:t>
            </w:r>
          </w:p>
        </w:tc>
        <w:tc>
          <w:tcPr>
            <w:tcW w:w="912" w:type="dxa"/>
            <w:shd w:val="clear" w:color="auto" w:fill="auto"/>
            <w:noWrap w:val="0"/>
            <w:vAlign w:val="center"/>
          </w:tcPr>
          <w:p w14:paraId="2FAE09E1">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48</w:t>
            </w:r>
          </w:p>
        </w:tc>
        <w:tc>
          <w:tcPr>
            <w:tcW w:w="5654" w:type="dxa"/>
            <w:shd w:val="clear" w:color="auto" w:fill="auto"/>
            <w:noWrap w:val="0"/>
            <w:vAlign w:val="center"/>
          </w:tcPr>
          <w:p w14:paraId="202E554F">
            <w:pPr>
              <w:rPr>
                <w:rFonts w:hint="eastAsia" w:ascii="Times New Roman" w:hAnsi="Times New Roman" w:eastAsia="宋体" w:cs="Times New Roman"/>
                <w:lang w:eastAsia="zh-CN"/>
              </w:rPr>
            </w:pPr>
            <w:r>
              <w:rPr>
                <w:rFonts w:hint="eastAsia" w:ascii="Times New Roman" w:hAnsi="Times New Roman" w:eastAsia="宋体" w:cs="Times New Roman"/>
              </w:rPr>
              <w:t>评标委员会将依据投标人所提供的技术参数偏离表，并综合考虑投标人对所投产品的说明以及对招标文件响应情况等方面，参照招标文件中技术参数的要求进行评价：完全满足各项技术参数及要求的得</w:t>
            </w:r>
            <w:r>
              <w:rPr>
                <w:rFonts w:hint="eastAsia" w:ascii="Times New Roman" w:hAnsi="Times New Roman" w:eastAsia="宋体" w:cs="Times New Roman"/>
                <w:lang w:val="en-US" w:eastAsia="zh-CN"/>
              </w:rPr>
              <w:t>48</w:t>
            </w:r>
            <w:r>
              <w:rPr>
                <w:rFonts w:hint="eastAsia" w:ascii="Times New Roman" w:hAnsi="Times New Roman" w:eastAsia="宋体" w:cs="Times New Roman"/>
              </w:rPr>
              <w:t>分</w:t>
            </w:r>
            <w:r>
              <w:rPr>
                <w:rFonts w:hint="eastAsia" w:ascii="Times New Roman" w:hAnsi="Times New Roman" w:eastAsia="宋体" w:cs="Times New Roman"/>
                <w:lang w:eastAsia="zh-CN"/>
              </w:rPr>
              <w:t>；</w:t>
            </w:r>
          </w:p>
          <w:p w14:paraId="05F0FC84">
            <w:pPr>
              <w:rPr>
                <w:rFonts w:hint="eastAsia" w:ascii="Times New Roman" w:hAnsi="Times New Roman" w:eastAsia="宋体" w:cs="Times New Roman"/>
                <w:lang w:val="en-US" w:eastAsia="zh-CN"/>
              </w:rPr>
            </w:pPr>
            <w:r>
              <w:rPr>
                <w:rFonts w:hint="eastAsia" w:ascii="Times New Roman" w:hAnsi="Times New Roman" w:eastAsia="宋体" w:cs="Times New Roman"/>
              </w:rPr>
              <w:t>完全满足各项技术参数及要求的得</w:t>
            </w:r>
            <w:r>
              <w:rPr>
                <w:rFonts w:hint="eastAsia" w:ascii="Times New Roman" w:hAnsi="Times New Roman" w:eastAsia="宋体" w:cs="Times New Roman"/>
                <w:lang w:val="en-US" w:eastAsia="zh-CN"/>
              </w:rPr>
              <w:t>48</w:t>
            </w:r>
            <w:r>
              <w:rPr>
                <w:rFonts w:hint="eastAsia" w:ascii="Times New Roman" w:hAnsi="Times New Roman" w:eastAsia="宋体" w:cs="Times New Roman"/>
              </w:rPr>
              <w:t>分</w:t>
            </w:r>
            <w:r>
              <w:rPr>
                <w:rFonts w:hint="eastAsia" w:ascii="Times New Roman" w:hAnsi="Times New Roman" w:eastAsia="宋体" w:cs="Times New Roman"/>
                <w:lang w:val="en-US" w:eastAsia="zh-CN"/>
              </w:rPr>
              <w:t>,</w:t>
            </w:r>
            <w:r>
              <w:rPr>
                <w:rFonts w:hint="eastAsia" w:ascii="Times New Roman" w:hAnsi="Times New Roman" w:eastAsia="宋体" w:cs="Times New Roman"/>
              </w:rPr>
              <w:t>每负偏离一项扣</w:t>
            </w:r>
            <w:r>
              <w:rPr>
                <w:rFonts w:hint="eastAsia" w:ascii="Times New Roman" w:hAnsi="Times New Roman" w:eastAsia="宋体" w:cs="Times New Roman"/>
                <w:lang w:val="en-US" w:eastAsia="zh-CN"/>
              </w:rPr>
              <w:t>0.3</w:t>
            </w:r>
            <w:r>
              <w:rPr>
                <w:rFonts w:hint="eastAsia" w:ascii="Times New Roman" w:hAnsi="Times New Roman" w:eastAsia="宋体" w:cs="Times New Roman"/>
              </w:rPr>
              <w:t>分</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共160项</w:t>
            </w:r>
            <w:r>
              <w:rPr>
                <w:rFonts w:hint="eastAsia" w:ascii="Times New Roman" w:hAnsi="Times New Roman" w:eastAsia="宋体" w:cs="Times New Roman"/>
                <w:lang w:eastAsia="zh-CN"/>
              </w:rPr>
              <w:t>）。</w:t>
            </w:r>
          </w:p>
        </w:tc>
      </w:tr>
      <w:tr w14:paraId="5F8A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noWrap w:val="0"/>
            <w:vAlign w:val="top"/>
          </w:tcPr>
          <w:p w14:paraId="0B36BD4A">
            <w:pPr>
              <w:rPr>
                <w:rFonts w:hint="default" w:ascii="Times New Roman" w:hAnsi="Times New Roman" w:eastAsia="仿宋_GB2312" w:cs="Times New Roman"/>
                <w:kern w:val="2"/>
                <w:sz w:val="21"/>
                <w:lang w:val="en-US" w:eastAsia="zh-CN" w:bidi="ar-SA"/>
              </w:rPr>
            </w:pPr>
            <w:r>
              <w:rPr>
                <w:rFonts w:hint="eastAsia"/>
                <w:lang w:val="en-US" w:eastAsia="zh-CN"/>
              </w:rPr>
              <w:t>2</w:t>
            </w:r>
            <w:r>
              <w:rPr>
                <w:rFonts w:hint="eastAsia"/>
              </w:rPr>
              <w:t>.产品质量与可靠性</w:t>
            </w:r>
          </w:p>
        </w:tc>
        <w:tc>
          <w:tcPr>
            <w:tcW w:w="912" w:type="dxa"/>
            <w:noWrap w:val="0"/>
            <w:vAlign w:val="top"/>
          </w:tcPr>
          <w:p w14:paraId="1F9EF84F">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5654" w:type="dxa"/>
            <w:noWrap w:val="0"/>
            <w:vAlign w:val="top"/>
          </w:tcPr>
          <w:p w14:paraId="31B94EB4">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供应商或生产厂家具有经中国国家认证认可监督管理委员会认证机构颁发的有效的下列认证：</w:t>
            </w:r>
          </w:p>
          <w:p w14:paraId="5CF3F810">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质量管理体系认证；</w:t>
            </w:r>
          </w:p>
          <w:p w14:paraId="354CF3B7">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环境管理体系认证；</w:t>
            </w:r>
          </w:p>
          <w:p w14:paraId="1B7CEFE3">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职业健康安全管理体系认证；</w:t>
            </w:r>
          </w:p>
          <w:p w14:paraId="40FC7FC5">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每具有一项得 2分，满分 6分。</w:t>
            </w:r>
          </w:p>
          <w:p w14:paraId="5D0F7530">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注：响应文件中同时提供证书扫描件以及全国认证认可信息公共服务平台官网证书信息查询截图，未提供或提供不全的不得分。</w:t>
            </w:r>
          </w:p>
        </w:tc>
      </w:tr>
      <w:tr w14:paraId="5BEE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shd w:val="clear" w:color="auto" w:fill="auto"/>
            <w:noWrap w:val="0"/>
            <w:vAlign w:val="center"/>
          </w:tcPr>
          <w:p w14:paraId="2BA4E3C1">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3.技术团队</w:t>
            </w:r>
          </w:p>
        </w:tc>
        <w:tc>
          <w:tcPr>
            <w:tcW w:w="912" w:type="dxa"/>
            <w:shd w:val="clear" w:color="auto" w:fill="auto"/>
            <w:noWrap w:val="0"/>
            <w:vAlign w:val="center"/>
          </w:tcPr>
          <w:p w14:paraId="3EA5ECEA">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5654" w:type="dxa"/>
            <w:shd w:val="clear" w:color="auto" w:fill="auto"/>
            <w:noWrap w:val="0"/>
            <w:vAlign w:val="center"/>
          </w:tcPr>
          <w:p w14:paraId="3A3D2ADD">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供应商技术团队至少有3位具有珠宝首饰相关的国家职业资格/职业技能等级二级及以上等级的证书，每提供1位得1分，最高得3分。</w:t>
            </w:r>
          </w:p>
          <w:p w14:paraId="601F1854">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需提供团队成员证书复印件、供应商与团队成员签订的劳动合同复印件，以及提交首次响应文件截止时间前三个月（不含提交首次响应文件截止时间当月）内任一个月供应商为其缴纳的社保证明材料复印件，提供不全或不提供不得分】。</w:t>
            </w:r>
          </w:p>
        </w:tc>
      </w:tr>
      <w:tr w14:paraId="5E23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shd w:val="clear" w:color="auto" w:fill="auto"/>
            <w:noWrap w:val="0"/>
            <w:vAlign w:val="center"/>
          </w:tcPr>
          <w:p w14:paraId="6C7244DF">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4.供货、安装调试、验收方案</w:t>
            </w:r>
          </w:p>
        </w:tc>
        <w:tc>
          <w:tcPr>
            <w:tcW w:w="912" w:type="dxa"/>
            <w:shd w:val="clear" w:color="auto" w:fill="auto"/>
            <w:noWrap w:val="0"/>
            <w:vAlign w:val="center"/>
          </w:tcPr>
          <w:p w14:paraId="58644979">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5654" w:type="dxa"/>
            <w:shd w:val="clear" w:color="auto" w:fill="auto"/>
            <w:noWrap w:val="0"/>
            <w:vAlign w:val="center"/>
          </w:tcPr>
          <w:p w14:paraId="544BA242">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根据供应商针对本项目提供的供货、安装调试、验收方案，由评委进行评分：</w:t>
            </w:r>
          </w:p>
          <w:p w14:paraId="04AE78B9">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供货、安装调试、验收方案具体合理、验收计划全面、实施方案可行，得3分；</w:t>
            </w:r>
          </w:p>
          <w:p w14:paraId="7CB5A3FE">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供货、安装调试、验收方案较合理、验收计划较全面、实施方案基本可行，得2分；</w:t>
            </w:r>
          </w:p>
          <w:p w14:paraId="3263BADC">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供货、安装调试、验收方案不够具体、验收计划不够全面、实施方案可行性欠缺，得1分。</w:t>
            </w:r>
          </w:p>
          <w:p w14:paraId="0C70FC00">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不提供上述内容或其他情形，得0分。</w:t>
            </w:r>
          </w:p>
        </w:tc>
      </w:tr>
    </w:tbl>
    <w:p w14:paraId="5264CB87">
      <w:pPr>
        <w:rPr>
          <w:rFonts w:hint="eastAsia"/>
          <w:b/>
          <w:bCs/>
          <w:color w:val="000000"/>
        </w:rPr>
      </w:pPr>
      <w:r>
        <w:rPr>
          <w:rFonts w:hint="eastAsia"/>
          <w:b/>
          <w:bCs/>
          <w:color w:val="000000"/>
        </w:rPr>
        <w:t>③商务项（F3×A3）满分为</w:t>
      </w:r>
      <w:r>
        <w:rPr>
          <w:rFonts w:hint="eastAsia"/>
          <w:b/>
          <w:bCs/>
          <w:i w:val="0"/>
          <w:iCs w:val="0"/>
          <w:color w:val="auto"/>
          <w:u w:val="single"/>
          <w:lang w:val="en-US" w:eastAsia="zh-CN"/>
        </w:rPr>
        <w:t>13</w:t>
      </w:r>
      <w:r>
        <w:rPr>
          <w:rFonts w:hint="eastAsia"/>
          <w:b/>
          <w:bCs/>
          <w:color w:val="000000"/>
        </w:rPr>
        <w:t>分。</w:t>
      </w:r>
    </w:p>
    <w:tbl>
      <w:tblPr>
        <w:tblStyle w:val="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900"/>
        <w:gridCol w:w="5452"/>
      </w:tblGrid>
      <w:tr w14:paraId="78EB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tcPr>
          <w:p w14:paraId="0580E58F">
            <w:r>
              <w:rPr>
                <w:rFonts w:hint="eastAsia"/>
              </w:rPr>
              <w:t>评标项目</w:t>
            </w:r>
          </w:p>
        </w:tc>
        <w:tc>
          <w:tcPr>
            <w:tcW w:w="900" w:type="dxa"/>
          </w:tcPr>
          <w:p w14:paraId="2B8F1181">
            <w:r>
              <w:t>评标分值</w:t>
            </w:r>
          </w:p>
        </w:tc>
        <w:tc>
          <w:tcPr>
            <w:tcW w:w="5452" w:type="dxa"/>
          </w:tcPr>
          <w:p w14:paraId="11E4C89C">
            <w:r>
              <w:rPr>
                <w:rFonts w:hint="eastAsia"/>
              </w:rPr>
              <w:t>评标方法描述</w:t>
            </w:r>
          </w:p>
        </w:tc>
      </w:tr>
      <w:tr w14:paraId="4504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vAlign w:val="center"/>
          </w:tcPr>
          <w:p w14:paraId="7554DC5C">
            <w:r>
              <w:rPr>
                <w:rFonts w:hint="eastAsia"/>
              </w:rPr>
              <w:t>1.业绩情况</w:t>
            </w:r>
          </w:p>
        </w:tc>
        <w:tc>
          <w:tcPr>
            <w:tcW w:w="900" w:type="dxa"/>
            <w:vAlign w:val="center"/>
          </w:tcPr>
          <w:p w14:paraId="2044EA8D">
            <w:r>
              <w:rPr>
                <w:rFonts w:hint="eastAsia"/>
              </w:rPr>
              <w:t>3</w:t>
            </w:r>
          </w:p>
        </w:tc>
        <w:tc>
          <w:tcPr>
            <w:tcW w:w="5452" w:type="dxa"/>
            <w:vAlign w:val="center"/>
          </w:tcPr>
          <w:p w14:paraId="335CA5E0">
            <w:r>
              <w:rPr>
                <w:rFonts w:hint="eastAsia"/>
              </w:rPr>
              <w:t>根据各投标人提供2020年1月1日起至本项目投标截止时间止(日期以验收合格时间为准)由投标人所完成同类项目的销售业绩情况，由评委进行评分：提供1份有效业绩的得1分，满分3分。注：投标人须同时提供中标（成交）公告(提供相关网站中标（成交）公告的下载网页并注明网址)、中标（成交）通知书复印件、采购合同文本复印件，以及验收合格报告、发票相关证明文件复印件，未同时提供以上证明材料的本项不得分。</w:t>
            </w:r>
          </w:p>
        </w:tc>
      </w:tr>
      <w:tr w14:paraId="1ED0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vMerge w:val="restart"/>
            <w:vAlign w:val="center"/>
          </w:tcPr>
          <w:p w14:paraId="7571E0E3">
            <w:r>
              <w:rPr>
                <w:rFonts w:hint="eastAsia"/>
              </w:rPr>
              <w:t>2.售后服务</w:t>
            </w:r>
          </w:p>
        </w:tc>
        <w:tc>
          <w:tcPr>
            <w:tcW w:w="900" w:type="dxa"/>
            <w:vAlign w:val="center"/>
          </w:tcPr>
          <w:p w14:paraId="371588DA">
            <w:pPr>
              <w:rPr>
                <w:rFonts w:hint="eastAsia" w:eastAsia="宋体"/>
                <w:lang w:eastAsia="zh-CN"/>
              </w:rPr>
            </w:pPr>
            <w:r>
              <w:rPr>
                <w:rFonts w:hint="eastAsia"/>
                <w:lang w:val="en-US" w:eastAsia="zh-CN"/>
              </w:rPr>
              <w:t>2</w:t>
            </w:r>
          </w:p>
        </w:tc>
        <w:tc>
          <w:tcPr>
            <w:tcW w:w="5452" w:type="dxa"/>
            <w:vAlign w:val="center"/>
          </w:tcPr>
          <w:p w14:paraId="5E9517EE">
            <w:r>
              <w:rPr>
                <w:rFonts w:hint="eastAsia"/>
              </w:rPr>
              <w:t>根据供应商提供的售后服务情况进行评分：售后服务方案条款内容表述详细、针对本项目特点、落实到负责的人员、有详细的联系方式和地址、有具体的响应时间且快速响应的得</w:t>
            </w:r>
            <w:r>
              <w:rPr>
                <w:rFonts w:hint="eastAsia"/>
                <w:lang w:val="en-US" w:eastAsia="zh-CN"/>
              </w:rPr>
              <w:t>2</w:t>
            </w:r>
            <w:r>
              <w:rPr>
                <w:rFonts w:hint="eastAsia"/>
              </w:rPr>
              <w:t>分；售后服务方案条款内容表述相对简略或缺乏针对性、有详细的联系方式和地址，有具体的响应时间、基本能指导本项目实施的得1分。内容不符合本项目或未提供资料的不得分。</w:t>
            </w:r>
          </w:p>
        </w:tc>
      </w:tr>
      <w:tr w14:paraId="2B57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vMerge w:val="continue"/>
            <w:vAlign w:val="center"/>
          </w:tcPr>
          <w:p w14:paraId="6839EB24"/>
        </w:tc>
        <w:tc>
          <w:tcPr>
            <w:tcW w:w="900" w:type="dxa"/>
            <w:vAlign w:val="center"/>
          </w:tcPr>
          <w:p w14:paraId="6C8DCA90">
            <w:r>
              <w:rPr>
                <w:rFonts w:hint="eastAsia"/>
              </w:rPr>
              <w:t>3</w:t>
            </w:r>
          </w:p>
        </w:tc>
        <w:tc>
          <w:tcPr>
            <w:tcW w:w="5452" w:type="dxa"/>
            <w:vAlign w:val="center"/>
          </w:tcPr>
          <w:p w14:paraId="5128C92B">
            <w:r>
              <w:rPr>
                <w:rFonts w:hint="eastAsia"/>
              </w:rPr>
              <w:t>根据投标人对所投设备的保修期承诺：招标文件要求的质保期为最低要求，投标人必须满足，在此基础上，每增加一年加1分，满分3分。投标文件中质保期未明确的视同满足招标文件的最低要求，承诺的质保期若不满足招标文件要求，视为未实质性响应招标文件要求，按无效投标处理。</w:t>
            </w:r>
          </w:p>
        </w:tc>
      </w:tr>
      <w:tr w14:paraId="3AE5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vMerge w:val="continue"/>
            <w:vAlign w:val="center"/>
          </w:tcPr>
          <w:p w14:paraId="13A30866"/>
        </w:tc>
        <w:tc>
          <w:tcPr>
            <w:tcW w:w="900" w:type="dxa"/>
            <w:vAlign w:val="center"/>
          </w:tcPr>
          <w:p w14:paraId="4173690C">
            <w:pPr>
              <w:rPr>
                <w:rFonts w:hint="eastAsia" w:eastAsia="宋体"/>
                <w:lang w:eastAsia="zh-CN"/>
              </w:rPr>
            </w:pPr>
            <w:r>
              <w:rPr>
                <w:rFonts w:hint="eastAsia"/>
                <w:lang w:val="en-US" w:eastAsia="zh-CN"/>
              </w:rPr>
              <w:t>2</w:t>
            </w:r>
          </w:p>
        </w:tc>
        <w:tc>
          <w:tcPr>
            <w:tcW w:w="5452" w:type="dxa"/>
            <w:vAlign w:val="center"/>
          </w:tcPr>
          <w:p w14:paraId="67F287E9">
            <w:r>
              <w:rPr>
                <w:rFonts w:hint="eastAsia"/>
              </w:rPr>
              <w:t>根据投标人提供的质保期后维修服务的项目及费用承诺（须明确各配件的费用及维修费用）进行评分，进行横向对比最优的得</w:t>
            </w:r>
            <w:r>
              <w:rPr>
                <w:rFonts w:hint="eastAsia"/>
                <w:lang w:val="en-US" w:eastAsia="zh-CN"/>
              </w:rPr>
              <w:t>2</w:t>
            </w:r>
            <w:r>
              <w:rPr>
                <w:rFonts w:hint="eastAsia"/>
              </w:rPr>
              <w:t>分，良的得1分，一般的得0分。（未明确各配件的费用及维修费用本项目不得分。）</w:t>
            </w:r>
          </w:p>
        </w:tc>
      </w:tr>
      <w:tr w14:paraId="66A1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27" w:type="dxa"/>
            <w:vAlign w:val="center"/>
          </w:tcPr>
          <w:p w14:paraId="69B41543">
            <w:r>
              <w:rPr>
                <w:rFonts w:hint="eastAsia"/>
              </w:rPr>
              <w:t>3.培训方案</w:t>
            </w:r>
          </w:p>
        </w:tc>
        <w:tc>
          <w:tcPr>
            <w:tcW w:w="900" w:type="dxa"/>
            <w:vAlign w:val="center"/>
          </w:tcPr>
          <w:p w14:paraId="0BF9E363">
            <w:pPr>
              <w:rPr>
                <w:rFonts w:hint="default" w:eastAsia="宋体"/>
                <w:lang w:val="en-US" w:eastAsia="zh-CN"/>
              </w:rPr>
            </w:pPr>
            <w:r>
              <w:rPr>
                <w:rFonts w:hint="eastAsia"/>
                <w:lang w:val="en-US" w:eastAsia="zh-CN"/>
              </w:rPr>
              <w:t>3</w:t>
            </w:r>
          </w:p>
        </w:tc>
        <w:tc>
          <w:tcPr>
            <w:tcW w:w="5452" w:type="dxa"/>
            <w:vAlign w:val="center"/>
          </w:tcPr>
          <w:p w14:paraId="7B3E7570">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根据投标人提供的技术培训方案（包括但不限于培训时间安排、培训内容、培训资料、培训师资等）与项目实施的配合程度进行综合评审：</w:t>
            </w:r>
          </w:p>
          <w:p w14:paraId="0A778C00">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方案详细、具体，针对性强，符合项目实际需要，提供4个及以上跟世界技能大赛珠宝加工项目相关的并获得全国技术能手的培训师资证明材料和提供相关人员证书材料以及与用供应商的劳动合同，得3分；</w:t>
            </w:r>
          </w:p>
          <w:p w14:paraId="503F82CA">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方案较详细，较具体，针对性较强，较能符合项目实际需要，提供2个跟世界技能大赛珠宝加工项目相关的并获得全国技术能手的培训师资证明材料和提供相关人员证书材料以及与用人单位的劳动合同，得2分；</w:t>
            </w:r>
          </w:p>
          <w:p w14:paraId="30C0E7B9">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方案基本详细，具体性、针对性欠缺，部分符合项目实际需要，得1分；</w:t>
            </w:r>
          </w:p>
          <w:p w14:paraId="3858A384">
            <w:pPr>
              <w:rPr>
                <w:rFonts w:hint="eastAsia" w:ascii="Times New Roman" w:hAnsi="Times New Roman" w:eastAsia="宋体" w:cs="Times New Roman"/>
              </w:rPr>
            </w:pPr>
            <w:r>
              <w:rPr>
                <w:rFonts w:hint="eastAsia" w:ascii="Times New Roman" w:hAnsi="Times New Roman" w:eastAsia="宋体" w:cs="Times New Roman"/>
                <w:lang w:val="en-US" w:eastAsia="zh-CN"/>
              </w:rPr>
              <w:t>不提供上述内容或其他情形，得0分。</w:t>
            </w:r>
          </w:p>
        </w:tc>
      </w:tr>
    </w:tbl>
    <w:p w14:paraId="082BC412"/>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2B0FC"/>
    <w:multiLevelType w:val="singleLevel"/>
    <w:tmpl w:val="9F12B0FC"/>
    <w:lvl w:ilvl="0" w:tentative="0">
      <w:start w:val="1"/>
      <w:numFmt w:val="decimal"/>
      <w:lvlText w:val="%1."/>
      <w:lvlJc w:val="left"/>
      <w:pPr>
        <w:tabs>
          <w:tab w:val="left" w:pos="312"/>
        </w:tabs>
      </w:pPr>
    </w:lvl>
  </w:abstractNum>
  <w:abstractNum w:abstractNumId="1">
    <w:nsid w:val="C1C3FAB0"/>
    <w:multiLevelType w:val="singleLevel"/>
    <w:tmpl w:val="C1C3FAB0"/>
    <w:lvl w:ilvl="0" w:tentative="0">
      <w:start w:val="1"/>
      <w:numFmt w:val="decimal"/>
      <w:lvlText w:val="%1"/>
      <w:lvlJc w:val="left"/>
      <w:pPr>
        <w:tabs>
          <w:tab w:val="left" w:pos="420"/>
        </w:tabs>
        <w:ind w:left="425" w:hanging="425"/>
      </w:pPr>
      <w:rPr>
        <w:rFonts w:hint="default"/>
      </w:rPr>
    </w:lvl>
  </w:abstractNum>
  <w:abstractNum w:abstractNumId="2">
    <w:nsid w:val="C3137597"/>
    <w:multiLevelType w:val="singleLevel"/>
    <w:tmpl w:val="C3137597"/>
    <w:lvl w:ilvl="0" w:tentative="0">
      <w:start w:val="1"/>
      <w:numFmt w:val="chineseCounting"/>
      <w:suff w:val="nothing"/>
      <w:lvlText w:val="%1、"/>
      <w:lvlJc w:val="left"/>
      <w:rPr>
        <w:rFonts w:hint="eastAsia"/>
      </w:rPr>
    </w:lvl>
  </w:abstractNum>
  <w:abstractNum w:abstractNumId="3">
    <w:nsid w:val="F56B1EDC"/>
    <w:multiLevelType w:val="singleLevel"/>
    <w:tmpl w:val="F56B1EDC"/>
    <w:lvl w:ilvl="0" w:tentative="0">
      <w:start w:val="1"/>
      <w:numFmt w:val="decimal"/>
      <w:suff w:val="nothing"/>
      <w:lvlText w:val="（%1）"/>
      <w:lvlJc w:val="left"/>
    </w:lvl>
  </w:abstractNum>
  <w:abstractNum w:abstractNumId="4">
    <w:nsid w:val="0A051CC0"/>
    <w:multiLevelType w:val="multilevel"/>
    <w:tmpl w:val="0A051C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AF118B5"/>
    <w:multiLevelType w:val="multilevel"/>
    <w:tmpl w:val="2AF118B5"/>
    <w:lvl w:ilvl="0" w:tentative="0">
      <w:start w:val="1"/>
      <w:numFmt w:val="decimal"/>
      <w:suff w:val="nothing"/>
      <w:lvlText w:val="%1"/>
      <w:lvlJc w:val="center"/>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D40051D"/>
    <w:multiLevelType w:val="singleLevel"/>
    <w:tmpl w:val="2D40051D"/>
    <w:lvl w:ilvl="0" w:tentative="0">
      <w:start w:val="1"/>
      <w:numFmt w:val="decimal"/>
      <w:lvlText w:val="%1."/>
      <w:lvlJc w:val="left"/>
      <w:pPr>
        <w:tabs>
          <w:tab w:val="left" w:pos="312"/>
        </w:tabs>
      </w:pPr>
    </w:lvl>
  </w:abstractNum>
  <w:abstractNum w:abstractNumId="7">
    <w:nsid w:val="5398334E"/>
    <w:multiLevelType w:val="singleLevel"/>
    <w:tmpl w:val="5398334E"/>
    <w:lvl w:ilvl="0" w:tentative="0">
      <w:start w:val="12"/>
      <w:numFmt w:val="decimal"/>
      <w:lvlText w:val="%1."/>
      <w:lvlJc w:val="left"/>
      <w:pPr>
        <w:tabs>
          <w:tab w:val="left" w:pos="312"/>
        </w:tabs>
      </w:pPr>
    </w:lvl>
  </w:abstractNum>
  <w:abstractNum w:abstractNumId="8">
    <w:nsid w:val="6EEEDC63"/>
    <w:multiLevelType w:val="singleLevel"/>
    <w:tmpl w:val="6EEEDC63"/>
    <w:lvl w:ilvl="0" w:tentative="0">
      <w:start w:val="1"/>
      <w:numFmt w:val="decimal"/>
      <w:lvlText w:val="%1."/>
      <w:lvlJc w:val="left"/>
      <w:pPr>
        <w:tabs>
          <w:tab w:val="left" w:pos="312"/>
        </w:tabs>
      </w:pPr>
    </w:lvl>
  </w:abstractNum>
  <w:abstractNum w:abstractNumId="9">
    <w:nsid w:val="7BFC425C"/>
    <w:multiLevelType w:val="singleLevel"/>
    <w:tmpl w:val="7BFC425C"/>
    <w:lvl w:ilvl="0" w:tentative="0">
      <w:start w:val="1"/>
      <w:numFmt w:val="decimal"/>
      <w:lvlText w:val="%1."/>
      <w:lvlJc w:val="left"/>
      <w:pPr>
        <w:tabs>
          <w:tab w:val="left" w:pos="312"/>
        </w:tabs>
      </w:pPr>
    </w:lvl>
  </w:abstractNum>
  <w:num w:numId="1">
    <w:abstractNumId w:val="2"/>
  </w:num>
  <w:num w:numId="2">
    <w:abstractNumId w:val="5"/>
  </w:num>
  <w:num w:numId="3">
    <w:abstractNumId w:val="1"/>
  </w:num>
  <w:num w:numId="4">
    <w:abstractNumId w:val="7"/>
  </w:num>
  <w:num w:numId="5">
    <w:abstractNumId w:val="8"/>
  </w:num>
  <w:num w:numId="6">
    <w:abstractNumId w:val="0"/>
  </w:num>
  <w:num w:numId="7">
    <w:abstractNumId w:val="6"/>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OWU3MzY3OWY2Y2ZlY2U1MmU4MzYxZThmNWE1YjkifQ=="/>
  </w:docVars>
  <w:rsids>
    <w:rsidRoot w:val="735B222E"/>
    <w:rsid w:val="0D096E50"/>
    <w:rsid w:val="2F3B1876"/>
    <w:rsid w:val="4AF835FF"/>
    <w:rsid w:val="4CC21AE4"/>
    <w:rsid w:val="52CB4A72"/>
    <w:rsid w:val="58A56761"/>
    <w:rsid w:val="58F34228"/>
    <w:rsid w:val="59D217EB"/>
    <w:rsid w:val="735B222E"/>
    <w:rsid w:val="7FDAB0A0"/>
    <w:rsid w:val="AFFA4F5A"/>
    <w:rsid w:val="DF9E5886"/>
    <w:rsid w:val="DFEFB476"/>
    <w:rsid w:val="FDFB2ABC"/>
    <w:rsid w:val="FEFF2452"/>
    <w:rsid w:val="FF561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cs="Times New Roman"/>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qFormat/>
    <w:uiPriority w:val="0"/>
    <w:pPr>
      <w:jc w:val="left"/>
    </w:p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w:basedOn w:val="2"/>
    <w:qFormat/>
    <w:uiPriority w:val="0"/>
    <w:pPr>
      <w:ind w:firstLine="420" w:firstLineChars="100"/>
    </w:pPr>
    <w:rPr>
      <w:kern w:val="0"/>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段"/>
    <w:next w:val="1"/>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13">
    <w:name w:val="样式1"/>
    <w:basedOn w:val="1"/>
    <w:qFormat/>
    <w:uiPriority w:val="0"/>
    <w:pPr>
      <w:ind w:firstLine="883" w:firstLineChars="200"/>
    </w:pPr>
    <w:rPr>
      <w:rFonts w:ascii="Calibri" w:hAnsi="Calibri" w:eastAsia="宋体" w:cs="Times New Roman"/>
      <w:sz w:val="30"/>
    </w:rPr>
  </w:style>
  <w:style w:type="paragraph" w:styleId="14">
    <w:name w:val="List Paragraph"/>
    <w:basedOn w:val="1"/>
    <w:qFormat/>
    <w:uiPriority w:val="34"/>
    <w:pPr>
      <w:spacing w:line="360" w:lineRule="auto"/>
      <w:ind w:firstLine="420" w:firstLineChars="200"/>
    </w:pPr>
    <w:rPr>
      <w:rFonts w:ascii="Calibri" w:hAnsi="Calibri" w:eastAsia="仿宋"/>
      <w:sz w:val="30"/>
      <w:szCs w:val="22"/>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_Style 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6689</Words>
  <Characters>7978</Characters>
  <Lines>0</Lines>
  <Paragraphs>0</Paragraphs>
  <TotalTime>0</TotalTime>
  <ScaleCrop>false</ScaleCrop>
  <LinksUpToDate>false</LinksUpToDate>
  <CharactersWithSpaces>8064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2023-10-08T15:47:00Z</dcterms:created>
  <dc:creator>葱说</dc:creator>
  <cp:lastModifiedBy>忘了我吧__</cp:lastModifiedBy>
  <dcterms:modified xsi:type="dcterms:W3CDTF">2024-09-13T03:27:48Z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9CB84C810FE24C8988397067E1C40BDB_13</vt:lpwstr>
  </property>
</Properties>
</file>