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CA067">
      <w:pPr>
        <w:pStyle w:val="5"/>
        <w:spacing w:before="0" w:after="0" w:line="360" w:lineRule="auto"/>
        <w:jc w:val="left"/>
        <w:rPr>
          <w:rFonts w:hint="default" w:ascii="宋体" w:hAnsi="宋体" w:eastAsia="宋体"/>
          <w:sz w:val="36"/>
          <w:szCs w:val="36"/>
          <w:lang w:val="en-US" w:eastAsia="zh-CN"/>
        </w:rPr>
      </w:pPr>
      <w:r>
        <w:rPr>
          <w:rFonts w:hint="eastAsia"/>
          <w:sz w:val="36"/>
          <w:szCs w:val="36"/>
          <w:lang w:val="en-US" w:eastAsia="zh-CN"/>
        </w:rPr>
        <w:t>附件四</w:t>
      </w:r>
    </w:p>
    <w:p w14:paraId="6E73EF17">
      <w:pPr>
        <w:pStyle w:val="5"/>
        <w:spacing w:before="0" w:after="0" w:line="360" w:lineRule="auto"/>
        <w:jc w:val="center"/>
        <w:rPr>
          <w:rFonts w:ascii="宋体" w:hAnsi="宋体"/>
          <w:sz w:val="36"/>
          <w:szCs w:val="36"/>
        </w:rPr>
      </w:pPr>
    </w:p>
    <w:p w14:paraId="72E08494">
      <w:pPr>
        <w:jc w:val="center"/>
        <w:rPr>
          <w:rFonts w:hint="eastAsia" w:ascii="楷体" w:hAnsi="楷体" w:eastAsia="楷体" w:cs="楷体"/>
          <w:b/>
          <w:bCs/>
          <w:sz w:val="52"/>
          <w:szCs w:val="52"/>
        </w:rPr>
      </w:pPr>
      <w:r>
        <w:rPr>
          <w:rFonts w:hint="eastAsia" w:ascii="楷体" w:hAnsi="楷体" w:eastAsia="楷体" w:cs="楷体"/>
          <w:b/>
          <w:bCs/>
          <w:sz w:val="52"/>
          <w:szCs w:val="52"/>
        </w:rPr>
        <w:t>湄洲湾职业技术学院</w:t>
      </w:r>
    </w:p>
    <w:p w14:paraId="7706A80A">
      <w:pPr>
        <w:jc w:val="center"/>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采购实施计划</w:t>
      </w:r>
    </w:p>
    <w:p w14:paraId="745F94DD"/>
    <w:p w14:paraId="42B2DF41">
      <w:pPr>
        <w:ind w:firstLine="1044" w:firstLineChars="400"/>
        <w:rPr>
          <w:rFonts w:ascii="仿宋" w:hAnsi="仿宋" w:eastAsia="仿宋" w:cs="仿宋"/>
          <w:b/>
          <w:bCs/>
          <w:color w:val="000000"/>
          <w:kern w:val="0"/>
          <w:sz w:val="26"/>
          <w:szCs w:val="26"/>
          <w:shd w:val="clear" w:color="auto" w:fill="FFFFFF"/>
        </w:rPr>
      </w:pPr>
    </w:p>
    <w:p w14:paraId="2E73A8EB">
      <w:pPr>
        <w:ind w:firstLine="1044" w:firstLineChars="400"/>
        <w:rPr>
          <w:rFonts w:ascii="仿宋" w:hAnsi="仿宋" w:eastAsia="仿宋" w:cs="仿宋"/>
          <w:b/>
          <w:bCs/>
          <w:color w:val="000000"/>
          <w:kern w:val="0"/>
          <w:sz w:val="26"/>
          <w:szCs w:val="26"/>
          <w:shd w:val="clear" w:color="auto" w:fill="FFFFFF"/>
        </w:rPr>
      </w:pPr>
    </w:p>
    <w:tbl>
      <w:tblPr>
        <w:tblStyle w:val="9"/>
        <w:tblW w:w="0" w:type="auto"/>
        <w:jc w:val="center"/>
        <w:tblLayout w:type="fixed"/>
        <w:tblCellMar>
          <w:top w:w="0" w:type="dxa"/>
          <w:left w:w="108" w:type="dxa"/>
          <w:bottom w:w="0" w:type="dxa"/>
          <w:right w:w="108" w:type="dxa"/>
        </w:tblCellMar>
      </w:tblPr>
      <w:tblGrid>
        <w:gridCol w:w="2903"/>
        <w:gridCol w:w="4676"/>
      </w:tblGrid>
      <w:tr w14:paraId="0BD9BE9D">
        <w:tblPrEx>
          <w:tblCellMar>
            <w:top w:w="0" w:type="dxa"/>
            <w:left w:w="108" w:type="dxa"/>
            <w:bottom w:w="0" w:type="dxa"/>
            <w:right w:w="108" w:type="dxa"/>
          </w:tblCellMar>
        </w:tblPrEx>
        <w:trPr>
          <w:trHeight w:val="680" w:hRule="atLeast"/>
          <w:jc w:val="center"/>
        </w:trPr>
        <w:tc>
          <w:tcPr>
            <w:tcW w:w="2903" w:type="dxa"/>
            <w:noWrap w:val="0"/>
            <w:vAlign w:val="bottom"/>
          </w:tcPr>
          <w:p w14:paraId="390564B6">
            <w:pPr>
              <w:ind w:firstLine="480"/>
              <w:jc w:val="distribute"/>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项目编号：</w:t>
            </w:r>
          </w:p>
        </w:tc>
        <w:tc>
          <w:tcPr>
            <w:tcW w:w="4676" w:type="dxa"/>
            <w:tcBorders>
              <w:bottom w:val="single" w:color="auto" w:sz="4" w:space="0"/>
            </w:tcBorders>
            <w:noWrap w:val="0"/>
            <w:vAlign w:val="bottom"/>
          </w:tcPr>
          <w:p w14:paraId="405E5FB3">
            <w:pPr>
              <w:ind w:firstLine="480"/>
              <w:jc w:val="center"/>
              <w:rPr>
                <w:rFonts w:hint="eastAsia" w:ascii="仿宋" w:hAnsi="仿宋" w:eastAsia="仿宋" w:cs="仿宋"/>
                <w:b/>
                <w:sz w:val="24"/>
              </w:rPr>
            </w:pPr>
          </w:p>
        </w:tc>
      </w:tr>
      <w:tr w14:paraId="77E585C2">
        <w:tblPrEx>
          <w:tblCellMar>
            <w:top w:w="0" w:type="dxa"/>
            <w:left w:w="108" w:type="dxa"/>
            <w:bottom w:w="0" w:type="dxa"/>
            <w:right w:w="108" w:type="dxa"/>
          </w:tblCellMar>
        </w:tblPrEx>
        <w:trPr>
          <w:trHeight w:val="680" w:hRule="atLeast"/>
          <w:jc w:val="center"/>
        </w:trPr>
        <w:tc>
          <w:tcPr>
            <w:tcW w:w="2903" w:type="dxa"/>
            <w:noWrap w:val="0"/>
            <w:vAlign w:val="bottom"/>
          </w:tcPr>
          <w:p w14:paraId="1225B68B">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rPr>
              <w:t>项目名称：</w:t>
            </w:r>
          </w:p>
        </w:tc>
        <w:tc>
          <w:tcPr>
            <w:tcW w:w="4676" w:type="dxa"/>
            <w:tcBorders>
              <w:bottom w:val="single" w:color="auto" w:sz="4" w:space="0"/>
            </w:tcBorders>
            <w:noWrap w:val="0"/>
            <w:vAlign w:val="bottom"/>
          </w:tcPr>
          <w:p w14:paraId="7FC5F17E">
            <w:pPr>
              <w:ind w:firstLine="480"/>
              <w:jc w:val="center"/>
              <w:rPr>
                <w:rFonts w:hint="eastAsia" w:ascii="仿宋" w:hAnsi="仿宋" w:eastAsia="仿宋" w:cs="仿宋"/>
                <w:b/>
                <w:sz w:val="24"/>
                <w:lang w:val="en-US" w:eastAsia="zh-CN"/>
              </w:rPr>
            </w:pPr>
            <w:r>
              <w:rPr>
                <w:rFonts w:hint="eastAsia" w:ascii="仿宋" w:hAnsi="仿宋" w:eastAsia="仿宋" w:cs="仿宋"/>
                <w:b/>
                <w:sz w:val="24"/>
                <w:lang w:val="en-US" w:eastAsia="zh-Hans"/>
              </w:rPr>
              <w:t>省赛珠宝玉石鉴定设备及标本</w:t>
            </w:r>
          </w:p>
        </w:tc>
      </w:tr>
      <w:tr w14:paraId="145C6FC7">
        <w:tblPrEx>
          <w:tblCellMar>
            <w:top w:w="0" w:type="dxa"/>
            <w:left w:w="108" w:type="dxa"/>
            <w:bottom w:w="0" w:type="dxa"/>
            <w:right w:w="108" w:type="dxa"/>
          </w:tblCellMar>
        </w:tblPrEx>
        <w:trPr>
          <w:trHeight w:val="680" w:hRule="atLeast"/>
          <w:jc w:val="center"/>
        </w:trPr>
        <w:tc>
          <w:tcPr>
            <w:tcW w:w="2903" w:type="dxa"/>
            <w:noWrap w:val="0"/>
            <w:vAlign w:val="bottom"/>
          </w:tcPr>
          <w:p w14:paraId="58734E6A">
            <w:pPr>
              <w:ind w:firstLine="480"/>
              <w:jc w:val="distribute"/>
              <w:rPr>
                <w:rFonts w:hint="eastAsia" w:ascii="仿宋" w:hAnsi="仿宋" w:eastAsia="仿宋" w:cs="仿宋"/>
                <w:b/>
                <w:sz w:val="28"/>
                <w:szCs w:val="28"/>
              </w:rPr>
            </w:pPr>
            <w:r>
              <w:rPr>
                <w:rFonts w:hint="eastAsia" w:ascii="仿宋" w:hAnsi="仿宋" w:eastAsia="仿宋" w:cs="仿宋"/>
                <w:b/>
                <w:bCs/>
                <w:sz w:val="28"/>
                <w:szCs w:val="28"/>
              </w:rPr>
              <w:t>实训室名称：</w:t>
            </w:r>
          </w:p>
        </w:tc>
        <w:tc>
          <w:tcPr>
            <w:tcW w:w="4676" w:type="dxa"/>
            <w:tcBorders>
              <w:bottom w:val="single" w:color="auto" w:sz="4" w:space="0"/>
            </w:tcBorders>
            <w:noWrap w:val="0"/>
            <w:vAlign w:val="bottom"/>
          </w:tcPr>
          <w:p w14:paraId="3C7E98FE">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宝玉石鉴定实训室</w:t>
            </w:r>
          </w:p>
        </w:tc>
      </w:tr>
      <w:tr w14:paraId="0761AE4D">
        <w:tblPrEx>
          <w:tblCellMar>
            <w:top w:w="0" w:type="dxa"/>
            <w:left w:w="108" w:type="dxa"/>
            <w:bottom w:w="0" w:type="dxa"/>
            <w:right w:w="108" w:type="dxa"/>
          </w:tblCellMar>
        </w:tblPrEx>
        <w:trPr>
          <w:trHeight w:val="680" w:hRule="atLeast"/>
          <w:jc w:val="center"/>
        </w:trPr>
        <w:tc>
          <w:tcPr>
            <w:tcW w:w="2903" w:type="dxa"/>
            <w:noWrap w:val="0"/>
            <w:vAlign w:val="bottom"/>
          </w:tcPr>
          <w:p w14:paraId="4EC09E63">
            <w:pPr>
              <w:ind w:firstLine="480"/>
              <w:jc w:val="distribute"/>
              <w:rPr>
                <w:rFonts w:hint="eastAsia" w:ascii="仿宋" w:hAnsi="仿宋" w:eastAsia="仿宋" w:cs="仿宋"/>
                <w:b/>
                <w:bCs/>
                <w:sz w:val="28"/>
                <w:szCs w:val="28"/>
              </w:rPr>
            </w:pPr>
            <w:r>
              <w:rPr>
                <w:rFonts w:hint="eastAsia" w:ascii="仿宋" w:hAnsi="仿宋" w:eastAsia="仿宋" w:cs="仿宋"/>
                <w:b/>
                <w:bCs/>
                <w:sz w:val="28"/>
                <w:szCs w:val="28"/>
                <w:lang w:val="en-US" w:eastAsia="zh-CN"/>
              </w:rPr>
              <w:t>申报单位</w:t>
            </w:r>
            <w:r>
              <w:rPr>
                <w:rFonts w:hint="eastAsia" w:ascii="仿宋" w:hAnsi="仿宋" w:eastAsia="仿宋" w:cs="仿宋"/>
                <w:b/>
                <w:bCs/>
                <w:sz w:val="28"/>
                <w:szCs w:val="28"/>
              </w:rPr>
              <w:t>：</w:t>
            </w:r>
          </w:p>
        </w:tc>
        <w:tc>
          <w:tcPr>
            <w:tcW w:w="4676" w:type="dxa"/>
            <w:tcBorders>
              <w:bottom w:val="single" w:color="auto" w:sz="4" w:space="0"/>
            </w:tcBorders>
            <w:noWrap w:val="0"/>
            <w:vAlign w:val="bottom"/>
          </w:tcPr>
          <w:p w14:paraId="528B51D6">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工艺美术系</w:t>
            </w:r>
          </w:p>
        </w:tc>
      </w:tr>
      <w:tr w14:paraId="0FDB146D">
        <w:tblPrEx>
          <w:tblCellMar>
            <w:top w:w="0" w:type="dxa"/>
            <w:left w:w="108" w:type="dxa"/>
            <w:bottom w:w="0" w:type="dxa"/>
            <w:right w:w="108" w:type="dxa"/>
          </w:tblCellMar>
        </w:tblPrEx>
        <w:trPr>
          <w:trHeight w:val="680" w:hRule="atLeast"/>
          <w:jc w:val="center"/>
        </w:trPr>
        <w:tc>
          <w:tcPr>
            <w:tcW w:w="2903" w:type="dxa"/>
            <w:noWrap w:val="0"/>
            <w:vAlign w:val="bottom"/>
          </w:tcPr>
          <w:p w14:paraId="334E4935">
            <w:pPr>
              <w:ind w:firstLine="480"/>
              <w:jc w:val="distribute"/>
              <w:rPr>
                <w:rFonts w:hint="eastAsia" w:ascii="仿宋" w:hAnsi="仿宋" w:eastAsia="仿宋" w:cs="仿宋"/>
                <w:b/>
                <w:sz w:val="28"/>
                <w:szCs w:val="28"/>
              </w:rPr>
            </w:pPr>
            <w:r>
              <w:rPr>
                <w:rFonts w:hint="eastAsia" w:ascii="仿宋" w:hAnsi="仿宋" w:eastAsia="仿宋" w:cs="仿宋"/>
                <w:b/>
                <w:bCs/>
                <w:sz w:val="28"/>
                <w:szCs w:val="28"/>
                <w:lang w:val="en-US" w:eastAsia="zh-CN"/>
              </w:rPr>
              <w:t>预算金额（万元）</w:t>
            </w:r>
            <w:r>
              <w:rPr>
                <w:rFonts w:hint="eastAsia" w:ascii="仿宋" w:hAnsi="仿宋" w:eastAsia="仿宋" w:cs="仿宋"/>
                <w:b/>
                <w:bCs/>
                <w:sz w:val="28"/>
                <w:szCs w:val="28"/>
              </w:rPr>
              <w:t>：</w:t>
            </w:r>
          </w:p>
        </w:tc>
        <w:tc>
          <w:tcPr>
            <w:tcW w:w="4676" w:type="dxa"/>
            <w:tcBorders>
              <w:top w:val="single" w:color="auto" w:sz="4" w:space="0"/>
              <w:bottom w:val="single" w:color="auto" w:sz="4" w:space="0"/>
            </w:tcBorders>
            <w:noWrap w:val="0"/>
            <w:vAlign w:val="bottom"/>
          </w:tcPr>
          <w:p w14:paraId="5853AAD6">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50</w:t>
            </w:r>
          </w:p>
        </w:tc>
      </w:tr>
      <w:tr w14:paraId="47FCA58F">
        <w:tblPrEx>
          <w:tblCellMar>
            <w:top w:w="0" w:type="dxa"/>
            <w:left w:w="108" w:type="dxa"/>
            <w:bottom w:w="0" w:type="dxa"/>
            <w:right w:w="108" w:type="dxa"/>
          </w:tblCellMar>
        </w:tblPrEx>
        <w:trPr>
          <w:trHeight w:val="680" w:hRule="atLeast"/>
          <w:jc w:val="center"/>
        </w:trPr>
        <w:tc>
          <w:tcPr>
            <w:tcW w:w="2903" w:type="dxa"/>
            <w:noWrap w:val="0"/>
            <w:vAlign w:val="bottom"/>
          </w:tcPr>
          <w:p w14:paraId="5D336107">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项目负责人：</w:t>
            </w:r>
          </w:p>
        </w:tc>
        <w:tc>
          <w:tcPr>
            <w:tcW w:w="4676" w:type="dxa"/>
            <w:tcBorders>
              <w:top w:val="single" w:color="auto" w:sz="4" w:space="0"/>
              <w:bottom w:val="single" w:color="auto" w:sz="4" w:space="0"/>
            </w:tcBorders>
            <w:noWrap w:val="0"/>
            <w:vAlign w:val="bottom"/>
          </w:tcPr>
          <w:p w14:paraId="0EEF039F">
            <w:pPr>
              <w:ind w:firstLine="48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刘娜</w:t>
            </w:r>
          </w:p>
        </w:tc>
      </w:tr>
      <w:tr w14:paraId="62CCDC00">
        <w:tblPrEx>
          <w:tblCellMar>
            <w:top w:w="0" w:type="dxa"/>
            <w:left w:w="108" w:type="dxa"/>
            <w:bottom w:w="0" w:type="dxa"/>
            <w:right w:w="108" w:type="dxa"/>
          </w:tblCellMar>
        </w:tblPrEx>
        <w:trPr>
          <w:trHeight w:val="680" w:hRule="atLeast"/>
          <w:jc w:val="center"/>
        </w:trPr>
        <w:tc>
          <w:tcPr>
            <w:tcW w:w="2903" w:type="dxa"/>
            <w:noWrap w:val="0"/>
            <w:vAlign w:val="bottom"/>
          </w:tcPr>
          <w:p w14:paraId="4A0322B3">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联系电话：</w:t>
            </w:r>
          </w:p>
        </w:tc>
        <w:tc>
          <w:tcPr>
            <w:tcW w:w="4676" w:type="dxa"/>
            <w:tcBorders>
              <w:top w:val="single" w:color="auto" w:sz="4" w:space="0"/>
              <w:bottom w:val="single" w:color="auto" w:sz="4" w:space="0"/>
            </w:tcBorders>
            <w:noWrap w:val="0"/>
            <w:vAlign w:val="bottom"/>
          </w:tcPr>
          <w:p w14:paraId="216A0C98">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15880313556</w:t>
            </w:r>
          </w:p>
        </w:tc>
      </w:tr>
      <w:tr w14:paraId="6164AE71">
        <w:tblPrEx>
          <w:tblCellMar>
            <w:top w:w="0" w:type="dxa"/>
            <w:left w:w="108" w:type="dxa"/>
            <w:bottom w:w="0" w:type="dxa"/>
            <w:right w:w="108" w:type="dxa"/>
          </w:tblCellMar>
        </w:tblPrEx>
        <w:trPr>
          <w:trHeight w:val="680" w:hRule="atLeast"/>
          <w:jc w:val="center"/>
        </w:trPr>
        <w:tc>
          <w:tcPr>
            <w:tcW w:w="2903" w:type="dxa"/>
            <w:noWrap w:val="0"/>
            <w:vAlign w:val="bottom"/>
          </w:tcPr>
          <w:p w14:paraId="58CBA1F1">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填报日期：</w:t>
            </w:r>
          </w:p>
        </w:tc>
        <w:tc>
          <w:tcPr>
            <w:tcW w:w="4676" w:type="dxa"/>
            <w:tcBorders>
              <w:top w:val="single" w:color="auto" w:sz="4" w:space="0"/>
              <w:bottom w:val="single" w:color="auto" w:sz="4" w:space="0"/>
            </w:tcBorders>
            <w:noWrap w:val="0"/>
            <w:vAlign w:val="bottom"/>
          </w:tcPr>
          <w:p w14:paraId="1779C37F">
            <w:pPr>
              <w:ind w:firstLine="48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2024年4月26日</w:t>
            </w:r>
          </w:p>
        </w:tc>
      </w:tr>
    </w:tbl>
    <w:p w14:paraId="4E469C44">
      <w:pPr>
        <w:rPr>
          <w:rFonts w:ascii="宋体" w:hAnsi="宋体"/>
          <w:color w:val="FF0000"/>
          <w:sz w:val="28"/>
          <w:szCs w:val="28"/>
        </w:rPr>
      </w:pPr>
    </w:p>
    <w:p w14:paraId="3E63245E">
      <w:pPr>
        <w:rPr>
          <w:rFonts w:ascii="宋体" w:hAnsi="宋体"/>
          <w:color w:val="FF0000"/>
          <w:sz w:val="28"/>
          <w:szCs w:val="28"/>
        </w:rPr>
      </w:pPr>
    </w:p>
    <w:p w14:paraId="07B1D64B">
      <w:pPr>
        <w:rPr>
          <w:rFonts w:ascii="宋体" w:hAnsi="宋体"/>
          <w:color w:val="FF0000"/>
          <w:sz w:val="28"/>
          <w:szCs w:val="28"/>
        </w:rPr>
      </w:pPr>
    </w:p>
    <w:p w14:paraId="1CC6D532">
      <w:pPr>
        <w:rPr>
          <w:rFonts w:ascii="宋体" w:hAnsi="宋体"/>
          <w:color w:val="FF0000"/>
          <w:sz w:val="28"/>
          <w:szCs w:val="28"/>
        </w:rPr>
      </w:pPr>
    </w:p>
    <w:p w14:paraId="541FEAA8">
      <w:pPr>
        <w:pStyle w:val="8"/>
        <w:rPr>
          <w:rFonts w:ascii="宋体" w:hAnsi="宋体"/>
          <w:color w:val="FF0000"/>
          <w:sz w:val="28"/>
          <w:szCs w:val="28"/>
        </w:rPr>
      </w:pPr>
    </w:p>
    <w:p w14:paraId="03A4BF9B">
      <w:pPr>
        <w:pStyle w:val="8"/>
        <w:rPr>
          <w:rFonts w:ascii="宋体" w:hAnsi="宋体"/>
          <w:color w:val="FF0000"/>
          <w:sz w:val="28"/>
          <w:szCs w:val="28"/>
        </w:rPr>
      </w:pPr>
    </w:p>
    <w:p w14:paraId="53F324E6">
      <w:pPr>
        <w:jc w:val="center"/>
        <w:rPr>
          <w:rFonts w:ascii="宋体" w:hAnsi="宋体" w:cs="仿宋"/>
          <w:b/>
          <w:color w:val="000000"/>
          <w:kern w:val="0"/>
          <w:sz w:val="30"/>
          <w:szCs w:val="30"/>
          <w:shd w:val="clear" w:color="auto" w:fill="FFFFFF"/>
        </w:rPr>
      </w:pPr>
      <w:r>
        <w:rPr>
          <w:rFonts w:hint="eastAsia" w:ascii="宋体" w:hAnsi="宋体" w:cs="仿宋"/>
          <w:b/>
          <w:color w:val="000000"/>
          <w:kern w:val="0"/>
          <w:sz w:val="30"/>
          <w:szCs w:val="30"/>
          <w:shd w:val="clear" w:color="auto" w:fill="FFFFFF"/>
        </w:rPr>
        <w:t>编制说明</w:t>
      </w:r>
    </w:p>
    <w:p w14:paraId="257BDAB5">
      <w:pPr>
        <w:widowControl/>
        <w:spacing w:line="560" w:lineRule="atLeast"/>
        <w:ind w:firstLine="640"/>
        <w:jc w:val="left"/>
        <w:rPr>
          <w:rFonts w:ascii="宋体" w:hAnsi="宋体" w:cs="仿宋"/>
          <w:color w:val="000000"/>
          <w:kern w:val="0"/>
          <w:sz w:val="28"/>
          <w:szCs w:val="28"/>
          <w:shd w:val="clear" w:color="auto" w:fill="FFFFFF"/>
        </w:rPr>
      </w:pPr>
    </w:p>
    <w:p w14:paraId="116DE604">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申购单位负责根据</w:t>
      </w:r>
      <w:r>
        <w:rPr>
          <w:rFonts w:hint="eastAsia" w:ascii="宋体" w:hAnsi="宋体" w:cs="仿宋"/>
          <w:color w:val="000000"/>
          <w:kern w:val="0"/>
          <w:sz w:val="28"/>
          <w:szCs w:val="28"/>
          <w:shd w:val="clear" w:color="auto" w:fill="FFFFFF"/>
        </w:rPr>
        <w:t>采购需求书编制采购实施计划。</w:t>
      </w:r>
    </w:p>
    <w:p w14:paraId="096AB196">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后勤管理处负责指导申购单位填写“合同订立安排”部分内容。</w:t>
      </w:r>
    </w:p>
    <w:p w14:paraId="5783D1A0">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公共实训管理中心负责指导申购单位填写“</w:t>
      </w:r>
      <w:r>
        <w:rPr>
          <w:rFonts w:hint="eastAsia" w:ascii="黑体" w:hAnsi="黑体" w:eastAsia="黑体"/>
          <w:sz w:val="24"/>
          <w:szCs w:val="24"/>
        </w:rPr>
        <w:t>合同</w:t>
      </w:r>
      <w:r>
        <w:rPr>
          <w:rFonts w:hint="eastAsia" w:ascii="黑体" w:hAnsi="黑体" w:eastAsia="黑体"/>
          <w:sz w:val="24"/>
          <w:szCs w:val="24"/>
          <w:lang w:val="en-US" w:eastAsia="zh-CN"/>
        </w:rPr>
        <w:t>管理</w:t>
      </w:r>
      <w:r>
        <w:rPr>
          <w:rFonts w:hint="eastAsia" w:ascii="黑体" w:hAnsi="黑体" w:eastAsia="黑体"/>
          <w:sz w:val="24"/>
          <w:szCs w:val="24"/>
        </w:rPr>
        <w:t>安排</w:t>
      </w:r>
      <w:r>
        <w:rPr>
          <w:rFonts w:hint="eastAsia" w:ascii="宋体" w:hAnsi="宋体" w:cs="仿宋"/>
          <w:color w:val="000000"/>
          <w:kern w:val="0"/>
          <w:sz w:val="28"/>
          <w:szCs w:val="28"/>
          <w:shd w:val="clear" w:color="auto" w:fill="FFFFFF"/>
          <w:lang w:val="en-US" w:eastAsia="zh-CN"/>
        </w:rPr>
        <w:t>”部分内容。</w:t>
      </w:r>
    </w:p>
    <w:p w14:paraId="2B31F804">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四</w:t>
      </w:r>
      <w:r>
        <w:rPr>
          <w:rFonts w:hint="eastAsia" w:ascii="宋体" w:hAnsi="宋体" w:cs="仿宋"/>
          <w:color w:val="000000"/>
          <w:kern w:val="0"/>
          <w:sz w:val="28"/>
          <w:szCs w:val="28"/>
          <w:shd w:val="clear" w:color="auto" w:fill="FFFFFF"/>
        </w:rPr>
        <w:t>、编制的采购实施计划应当符合《财政部关于印发政府采购需求管理办法的通知》（财库〔2021〕22号）要求及政府采购的相关规定。</w:t>
      </w:r>
    </w:p>
    <w:p w14:paraId="7E4D5A3B">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五</w:t>
      </w:r>
      <w:r>
        <w:rPr>
          <w:rFonts w:hint="eastAsia" w:ascii="宋体" w:hAnsi="宋体" w:cs="仿宋"/>
          <w:color w:val="000000"/>
          <w:kern w:val="0"/>
          <w:sz w:val="28"/>
          <w:szCs w:val="28"/>
          <w:shd w:val="clear" w:color="auto" w:fill="FFFFFF"/>
        </w:rPr>
        <w:t>、斜体字部分属于提醒内容，编制时应删除。</w:t>
      </w:r>
    </w:p>
    <w:p w14:paraId="7F8731E1">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六</w:t>
      </w:r>
      <w:r>
        <w:rPr>
          <w:rFonts w:hint="eastAsia" w:ascii="宋体" w:hAnsi="宋体" w:cs="仿宋"/>
          <w:color w:val="000000"/>
          <w:kern w:val="0"/>
          <w:sz w:val="28"/>
          <w:szCs w:val="28"/>
          <w:shd w:val="clear" w:color="auto" w:fill="FFFFFF"/>
        </w:rPr>
        <w:t>、对不适用的内容应删除，并调整相应序号。</w:t>
      </w:r>
    </w:p>
    <w:p w14:paraId="6AD71089">
      <w:pPr>
        <w:rPr>
          <w:sz w:val="28"/>
          <w:szCs w:val="28"/>
        </w:rPr>
      </w:pPr>
    </w:p>
    <w:p w14:paraId="7F5360D2">
      <w:pPr>
        <w:spacing w:line="360" w:lineRule="auto"/>
      </w:pPr>
    </w:p>
    <w:p w14:paraId="68F7A037">
      <w:pPr>
        <w:widowControl/>
        <w:shd w:val="clear" w:color="auto" w:fill="FFFFFF"/>
        <w:spacing w:line="360" w:lineRule="auto"/>
        <w:ind w:firstLine="562" w:firstLineChars="200"/>
        <w:jc w:val="left"/>
        <w:rPr>
          <w:rFonts w:ascii="宋体" w:hAnsi="宋体" w:cs="Arial"/>
          <w:b/>
          <w:color w:val="333333"/>
          <w:kern w:val="0"/>
          <w:sz w:val="28"/>
          <w:szCs w:val="28"/>
        </w:rPr>
      </w:pPr>
    </w:p>
    <w:p w14:paraId="774BC497">
      <w:pPr>
        <w:widowControl/>
        <w:shd w:val="clear" w:color="auto" w:fill="FFFFFF"/>
        <w:spacing w:line="360" w:lineRule="auto"/>
        <w:ind w:firstLine="562" w:firstLineChars="200"/>
        <w:jc w:val="left"/>
        <w:rPr>
          <w:rFonts w:ascii="宋体" w:hAnsi="宋体" w:cs="Arial"/>
          <w:b/>
          <w:color w:val="333333"/>
          <w:kern w:val="0"/>
          <w:sz w:val="28"/>
          <w:szCs w:val="28"/>
        </w:rPr>
      </w:pPr>
    </w:p>
    <w:p w14:paraId="6E898EEC">
      <w:pPr>
        <w:widowControl/>
        <w:shd w:val="clear" w:color="auto" w:fill="FFFFFF"/>
        <w:spacing w:line="360" w:lineRule="auto"/>
        <w:ind w:firstLine="562" w:firstLineChars="200"/>
        <w:jc w:val="left"/>
        <w:rPr>
          <w:rFonts w:ascii="宋体" w:hAnsi="宋体" w:cs="Arial"/>
          <w:b/>
          <w:color w:val="333333"/>
          <w:kern w:val="0"/>
          <w:sz w:val="28"/>
          <w:szCs w:val="28"/>
        </w:rPr>
      </w:pPr>
    </w:p>
    <w:p w14:paraId="53FAD859">
      <w:pPr>
        <w:widowControl/>
        <w:shd w:val="clear" w:color="auto" w:fill="FFFFFF"/>
        <w:spacing w:line="360" w:lineRule="auto"/>
        <w:ind w:firstLine="562" w:firstLineChars="200"/>
        <w:jc w:val="left"/>
        <w:rPr>
          <w:rFonts w:ascii="宋体" w:hAnsi="宋体" w:cs="Arial"/>
          <w:b/>
          <w:color w:val="333333"/>
          <w:kern w:val="0"/>
          <w:sz w:val="28"/>
          <w:szCs w:val="28"/>
        </w:rPr>
      </w:pPr>
    </w:p>
    <w:p w14:paraId="00496587">
      <w:pPr>
        <w:widowControl/>
        <w:shd w:val="clear" w:color="auto" w:fill="FFFFFF"/>
        <w:spacing w:line="360" w:lineRule="auto"/>
        <w:ind w:firstLine="562" w:firstLineChars="200"/>
        <w:jc w:val="left"/>
        <w:rPr>
          <w:rFonts w:ascii="宋体" w:hAnsi="宋体" w:cs="Arial"/>
          <w:b/>
          <w:color w:val="333333"/>
          <w:kern w:val="0"/>
          <w:sz w:val="28"/>
          <w:szCs w:val="28"/>
        </w:rPr>
      </w:pPr>
    </w:p>
    <w:p w14:paraId="5890057B">
      <w:pPr>
        <w:widowControl/>
        <w:shd w:val="clear" w:color="auto" w:fill="FFFFFF"/>
        <w:spacing w:line="360" w:lineRule="auto"/>
        <w:ind w:firstLine="562" w:firstLineChars="200"/>
        <w:jc w:val="left"/>
        <w:rPr>
          <w:rFonts w:ascii="宋体" w:hAnsi="宋体" w:cs="Arial"/>
          <w:b/>
          <w:color w:val="333333"/>
          <w:kern w:val="0"/>
          <w:sz w:val="28"/>
          <w:szCs w:val="28"/>
        </w:rPr>
      </w:pPr>
    </w:p>
    <w:p w14:paraId="66235FA9">
      <w:pPr>
        <w:widowControl/>
        <w:shd w:val="clear" w:color="auto" w:fill="FFFFFF"/>
        <w:spacing w:line="360" w:lineRule="auto"/>
        <w:jc w:val="left"/>
        <w:rPr>
          <w:rFonts w:ascii="宋体" w:hAnsi="宋体" w:cs="Arial"/>
          <w:b/>
          <w:color w:val="333333"/>
          <w:kern w:val="0"/>
          <w:sz w:val="28"/>
          <w:szCs w:val="28"/>
        </w:rPr>
      </w:pPr>
    </w:p>
    <w:p w14:paraId="28ED2FA1">
      <w:pPr>
        <w:pStyle w:val="4"/>
        <w:spacing w:line="360" w:lineRule="auto"/>
        <w:ind w:firstLine="472" w:firstLineChars="196"/>
        <w:rPr>
          <w:rFonts w:ascii="黑体" w:hAnsi="黑体" w:eastAsia="黑体"/>
          <w:sz w:val="24"/>
          <w:szCs w:val="24"/>
        </w:rPr>
      </w:pPr>
      <w:r>
        <w:rPr>
          <w:rFonts w:hint="eastAsia" w:ascii="黑体" w:hAnsi="黑体" w:eastAsia="黑体"/>
          <w:sz w:val="24"/>
          <w:szCs w:val="24"/>
        </w:rPr>
        <w:t>一、合同订立安排</w:t>
      </w:r>
    </w:p>
    <w:p w14:paraId="27E3F2F7">
      <w:pPr>
        <w:pStyle w:val="13"/>
        <w:spacing w:line="360" w:lineRule="auto"/>
        <w:ind w:firstLine="482"/>
        <w:rPr>
          <w:rFonts w:ascii="宋体" w:hAnsi="宋体"/>
          <w:b/>
          <w:bCs/>
          <w:sz w:val="24"/>
          <w:szCs w:val="24"/>
        </w:rPr>
      </w:pPr>
      <w:bookmarkStart w:id="0" w:name="_Toc13411"/>
      <w:r>
        <w:rPr>
          <w:rFonts w:hint="eastAsia" w:ascii="宋体" w:hAnsi="宋体"/>
          <w:b/>
          <w:bCs/>
          <w:sz w:val="24"/>
          <w:szCs w:val="24"/>
        </w:rPr>
        <w:t>（一）项目采购预算</w:t>
      </w:r>
      <w:bookmarkEnd w:id="0"/>
    </w:p>
    <w:p w14:paraId="5178353B">
      <w:pPr>
        <w:widowControl/>
        <w:spacing w:line="360" w:lineRule="auto"/>
        <w:ind w:firstLine="600"/>
        <w:jc w:val="left"/>
        <w:rPr>
          <w:rFonts w:hint="default" w:ascii="宋体" w:hAnsi="宋体" w:eastAsia="宋体" w:cs="仿宋"/>
          <w:sz w:val="24"/>
          <w:szCs w:val="24"/>
          <w:lang w:val="en-US" w:eastAsia="zh-CN"/>
        </w:rPr>
      </w:pPr>
      <w:r>
        <w:rPr>
          <w:rFonts w:hint="eastAsia" w:ascii="宋体" w:hAnsi="宋体" w:cs="仿宋"/>
          <w:sz w:val="24"/>
          <w:szCs w:val="24"/>
        </w:rPr>
        <w:t>1.项目采购预算：（</w:t>
      </w:r>
      <w:r>
        <w:rPr>
          <w:rFonts w:hint="eastAsia" w:ascii="宋体" w:hAnsi="宋体" w:cs="仿宋"/>
          <w:sz w:val="24"/>
          <w:szCs w:val="24"/>
          <w:lang w:val="en-US" w:eastAsia="zh-CN"/>
        </w:rPr>
        <w:t>¥</w:t>
      </w:r>
      <w:r>
        <w:rPr>
          <w:rFonts w:hint="eastAsia" w:ascii="宋体" w:hAnsi="宋体" w:cs="仿宋"/>
          <w:sz w:val="24"/>
          <w:szCs w:val="24"/>
        </w:rPr>
        <w:t>）</w:t>
      </w:r>
      <w:r>
        <w:rPr>
          <w:rFonts w:hint="eastAsia" w:ascii="宋体" w:hAnsi="宋体" w:cs="仿宋"/>
          <w:sz w:val="24"/>
          <w:szCs w:val="24"/>
          <w:u w:val="single"/>
          <w:lang w:val="en-US" w:eastAsia="zh-CN"/>
        </w:rPr>
        <w:t>伍</w:t>
      </w:r>
      <w:r>
        <w:rPr>
          <w:rFonts w:hint="eastAsia" w:ascii="宋体" w:hAnsi="宋体" w:cs="仿宋"/>
          <w:sz w:val="24"/>
          <w:szCs w:val="24"/>
          <w:u w:val="single"/>
        </w:rPr>
        <w:t>拾万元整</w:t>
      </w:r>
      <w:r>
        <w:rPr>
          <w:rFonts w:hint="eastAsia" w:ascii="宋体" w:hAnsi="宋体" w:cs="仿宋"/>
          <w:sz w:val="24"/>
          <w:szCs w:val="24"/>
        </w:rPr>
        <w:t>，</w:t>
      </w:r>
      <w:r>
        <w:rPr>
          <w:rFonts w:hint="eastAsia" w:ascii="宋体" w:hAnsi="宋体" w:cs="仿宋"/>
          <w:sz w:val="24"/>
          <w:szCs w:val="24"/>
          <w:u w:val="single"/>
          <w:lang w:val="en-US" w:eastAsia="zh-CN"/>
        </w:rPr>
        <w:t>500000元</w:t>
      </w:r>
    </w:p>
    <w:p w14:paraId="654AC02D">
      <w:pPr>
        <w:widowControl/>
        <w:spacing w:line="360" w:lineRule="auto"/>
        <w:ind w:firstLine="600"/>
        <w:jc w:val="left"/>
        <w:rPr>
          <w:rFonts w:ascii="宋体" w:hAnsi="宋体" w:cs="仿宋"/>
          <w:sz w:val="24"/>
          <w:szCs w:val="24"/>
          <w:u w:val="single"/>
        </w:rPr>
      </w:pPr>
      <w:r>
        <w:rPr>
          <w:rFonts w:hint="eastAsia" w:ascii="宋体" w:hAnsi="宋体" w:cs="仿宋"/>
          <w:sz w:val="24"/>
          <w:szCs w:val="24"/>
        </w:rPr>
        <w:t>2.项目最高限价：（</w:t>
      </w:r>
      <w:r>
        <w:rPr>
          <w:rFonts w:hint="eastAsia" w:ascii="宋体" w:hAnsi="宋体" w:cs="仿宋"/>
          <w:sz w:val="24"/>
          <w:szCs w:val="24"/>
          <w:lang w:val="en-US" w:eastAsia="zh-CN"/>
        </w:rPr>
        <w:t>¥</w:t>
      </w:r>
      <w:r>
        <w:rPr>
          <w:rFonts w:hint="eastAsia" w:ascii="宋体" w:hAnsi="宋体" w:cs="仿宋"/>
          <w:sz w:val="24"/>
          <w:szCs w:val="24"/>
        </w:rPr>
        <w:t>）</w:t>
      </w:r>
      <w:r>
        <w:rPr>
          <w:rFonts w:hint="eastAsia" w:ascii="宋体" w:hAnsi="宋体" w:cs="仿宋"/>
          <w:sz w:val="24"/>
          <w:szCs w:val="24"/>
          <w:u w:val="single"/>
          <w:lang w:val="en-US" w:eastAsia="zh-CN"/>
        </w:rPr>
        <w:t>伍</w:t>
      </w:r>
      <w:r>
        <w:rPr>
          <w:rFonts w:hint="eastAsia" w:ascii="宋体" w:hAnsi="宋体" w:cs="仿宋"/>
          <w:sz w:val="24"/>
          <w:szCs w:val="24"/>
          <w:u w:val="single"/>
        </w:rPr>
        <w:t>拾万元整</w:t>
      </w:r>
      <w:r>
        <w:rPr>
          <w:rFonts w:hint="eastAsia" w:ascii="宋体" w:hAnsi="宋体" w:cs="仿宋"/>
          <w:sz w:val="24"/>
          <w:szCs w:val="24"/>
        </w:rPr>
        <w:t>，</w:t>
      </w:r>
      <w:r>
        <w:rPr>
          <w:rFonts w:hint="eastAsia" w:ascii="宋体" w:hAnsi="宋体" w:cs="仿宋"/>
          <w:sz w:val="24"/>
          <w:szCs w:val="24"/>
          <w:u w:val="single"/>
          <w:lang w:val="en-US" w:eastAsia="zh-CN"/>
        </w:rPr>
        <w:t>500000元</w:t>
      </w:r>
    </w:p>
    <w:p w14:paraId="007EBEF0">
      <w:pPr>
        <w:pStyle w:val="13"/>
        <w:spacing w:afterLines="50" w:line="360" w:lineRule="auto"/>
        <w:ind w:firstLine="482"/>
        <w:rPr>
          <w:sz w:val="24"/>
          <w:szCs w:val="24"/>
        </w:rPr>
      </w:pPr>
      <w:bookmarkStart w:id="1" w:name="_Toc23746"/>
      <w:r>
        <w:rPr>
          <w:rFonts w:hint="eastAsia" w:ascii="宋体" w:hAnsi="宋体"/>
          <w:b/>
          <w:bCs/>
          <w:sz w:val="24"/>
          <w:szCs w:val="24"/>
        </w:rPr>
        <w:t>（二）开展采购活动的时间安排</w:t>
      </w:r>
      <w:bookmarkEnd w:id="1"/>
    </w:p>
    <w:tbl>
      <w:tblPr>
        <w:tblStyle w:val="10"/>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827"/>
        <w:gridCol w:w="3262"/>
      </w:tblGrid>
      <w:tr w14:paraId="0B67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06ECF2A7">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2337" w:type="pct"/>
            <w:noWrap/>
            <w:vAlign w:val="top"/>
          </w:tcPr>
          <w:p w14:paraId="23B7179D">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事项</w:t>
            </w:r>
          </w:p>
        </w:tc>
        <w:tc>
          <w:tcPr>
            <w:tcW w:w="1991" w:type="pct"/>
            <w:noWrap/>
            <w:vAlign w:val="top"/>
          </w:tcPr>
          <w:p w14:paraId="0B49DC2A">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时间安排</w:t>
            </w:r>
          </w:p>
        </w:tc>
      </w:tr>
      <w:tr w14:paraId="11D8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49099D18">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3495A6C2">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政府采购意向公开</w:t>
            </w:r>
          </w:p>
        </w:tc>
        <w:tc>
          <w:tcPr>
            <w:tcW w:w="1991" w:type="pct"/>
            <w:noWrap/>
            <w:vAlign w:val="top"/>
          </w:tcPr>
          <w:p w14:paraId="79028DBB">
            <w:pPr>
              <w:tabs>
                <w:tab w:val="left" w:pos="864"/>
              </w:tabs>
              <w:spacing w:line="360" w:lineRule="auto"/>
              <w:jc w:val="center"/>
              <w:rPr>
                <w:rFonts w:hint="eastAsia"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w:t>
            </w:r>
          </w:p>
        </w:tc>
      </w:tr>
      <w:tr w14:paraId="15BB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4143CE3A">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4A1F814C">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政府采购计划申报</w:t>
            </w:r>
          </w:p>
        </w:tc>
        <w:tc>
          <w:tcPr>
            <w:tcW w:w="1991" w:type="pct"/>
            <w:noWrap/>
            <w:vAlign w:val="top"/>
          </w:tcPr>
          <w:p w14:paraId="3784B26A">
            <w:pPr>
              <w:tabs>
                <w:tab w:val="left" w:pos="864"/>
              </w:tabs>
              <w:spacing w:line="360" w:lineRule="auto"/>
              <w:jc w:val="center"/>
              <w:rPr>
                <w:rFonts w:hint="default"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2024年4月</w:t>
            </w:r>
          </w:p>
        </w:tc>
      </w:tr>
      <w:tr w14:paraId="61CC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4B2C1702">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4C003042">
            <w:pPr>
              <w:tabs>
                <w:tab w:val="left" w:pos="864"/>
              </w:tabs>
              <w:spacing w:line="360" w:lineRule="auto"/>
              <w:jc w:val="center"/>
              <w:rPr>
                <w:rFonts w:ascii="宋体" w:hAnsi="宋体"/>
                <w:kern w:val="0"/>
                <w:sz w:val="24"/>
                <w:szCs w:val="24"/>
              </w:rPr>
            </w:pPr>
            <w:r>
              <w:rPr>
                <w:rFonts w:hint="eastAsia" w:ascii="宋体" w:hAnsi="宋体"/>
                <w:kern w:val="0"/>
                <w:sz w:val="24"/>
                <w:szCs w:val="24"/>
              </w:rPr>
              <w:t>办理项目备案（如有）</w:t>
            </w:r>
          </w:p>
        </w:tc>
        <w:tc>
          <w:tcPr>
            <w:tcW w:w="1991" w:type="pct"/>
            <w:noWrap/>
            <w:vAlign w:val="top"/>
          </w:tcPr>
          <w:p w14:paraId="6250B215">
            <w:pPr>
              <w:tabs>
                <w:tab w:val="left" w:pos="864"/>
              </w:tabs>
              <w:spacing w:line="360" w:lineRule="auto"/>
              <w:jc w:val="center"/>
              <w:rPr>
                <w:rFonts w:ascii="宋体" w:hAnsi="宋体"/>
                <w:b w:val="0"/>
                <w:bCs w:val="0"/>
                <w:color w:val="auto"/>
                <w:kern w:val="0"/>
                <w:sz w:val="24"/>
                <w:szCs w:val="24"/>
              </w:rPr>
            </w:pPr>
          </w:p>
        </w:tc>
      </w:tr>
      <w:tr w14:paraId="0167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5EA77DC9">
            <w:pPr>
              <w:pStyle w:val="14"/>
              <w:numPr>
                <w:ilvl w:val="0"/>
                <w:numId w:val="2"/>
              </w:numPr>
              <w:tabs>
                <w:tab w:val="left" w:pos="864"/>
              </w:tabs>
              <w:spacing w:line="360" w:lineRule="auto"/>
              <w:ind w:firstLineChars="0"/>
              <w:jc w:val="center"/>
              <w:rPr>
                <w:rFonts w:ascii="宋体" w:hAnsi="宋体"/>
                <w:kern w:val="0"/>
                <w:sz w:val="24"/>
                <w:szCs w:val="24"/>
              </w:rPr>
            </w:pPr>
            <w:bookmarkStart w:id="15" w:name="_GoBack" w:colFirst="2" w:colLast="2"/>
          </w:p>
        </w:tc>
        <w:tc>
          <w:tcPr>
            <w:tcW w:w="2337" w:type="pct"/>
            <w:noWrap/>
            <w:vAlign w:val="top"/>
          </w:tcPr>
          <w:p w14:paraId="02314B06">
            <w:pPr>
              <w:tabs>
                <w:tab w:val="left" w:pos="864"/>
              </w:tabs>
              <w:spacing w:line="360" w:lineRule="auto"/>
              <w:jc w:val="center"/>
              <w:rPr>
                <w:rFonts w:ascii="宋体" w:hAnsi="宋体"/>
                <w:kern w:val="0"/>
                <w:sz w:val="24"/>
                <w:szCs w:val="24"/>
              </w:rPr>
            </w:pPr>
            <w:r>
              <w:rPr>
                <w:rFonts w:hint="eastAsia" w:ascii="宋体" w:hAnsi="宋体"/>
                <w:kern w:val="0"/>
                <w:sz w:val="24"/>
                <w:szCs w:val="24"/>
              </w:rPr>
              <w:t>编制采购/招标文件</w:t>
            </w:r>
          </w:p>
        </w:tc>
        <w:tc>
          <w:tcPr>
            <w:tcW w:w="3261" w:type="dxa"/>
            <w:noWrap/>
            <w:vAlign w:val="top"/>
          </w:tcPr>
          <w:p w14:paraId="379F5EE0">
            <w:pPr>
              <w:tabs>
                <w:tab w:val="left" w:pos="864"/>
              </w:tabs>
              <w:spacing w:line="360" w:lineRule="auto"/>
              <w:jc w:val="center"/>
              <w:rPr>
                <w:rFonts w:hint="default"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2024年10月</w:t>
            </w:r>
          </w:p>
        </w:tc>
      </w:tr>
      <w:tr w14:paraId="2D84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3F53223D">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38243C25">
            <w:pPr>
              <w:tabs>
                <w:tab w:val="left" w:pos="864"/>
              </w:tabs>
              <w:spacing w:line="360" w:lineRule="auto"/>
              <w:jc w:val="center"/>
              <w:rPr>
                <w:rFonts w:ascii="宋体" w:hAnsi="宋体"/>
                <w:kern w:val="0"/>
                <w:sz w:val="24"/>
                <w:szCs w:val="24"/>
              </w:rPr>
            </w:pPr>
            <w:r>
              <w:rPr>
                <w:rFonts w:hint="eastAsia" w:ascii="宋体" w:hAnsi="宋体"/>
                <w:kern w:val="0"/>
                <w:sz w:val="24"/>
                <w:szCs w:val="24"/>
              </w:rPr>
              <w:t>发布采购/招标公告</w:t>
            </w:r>
          </w:p>
        </w:tc>
        <w:tc>
          <w:tcPr>
            <w:tcW w:w="3261" w:type="dxa"/>
            <w:noWrap/>
            <w:vAlign w:val="top"/>
          </w:tcPr>
          <w:p w14:paraId="39BE4232">
            <w:pPr>
              <w:tabs>
                <w:tab w:val="left" w:pos="864"/>
              </w:tabs>
              <w:spacing w:line="360" w:lineRule="auto"/>
              <w:jc w:val="center"/>
              <w:rPr>
                <w:rFonts w:hint="default"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2024年11月</w:t>
            </w:r>
          </w:p>
        </w:tc>
      </w:tr>
      <w:tr w14:paraId="2DA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1656F759">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47778EDB">
            <w:pPr>
              <w:tabs>
                <w:tab w:val="left" w:pos="864"/>
              </w:tabs>
              <w:spacing w:line="360" w:lineRule="auto"/>
              <w:jc w:val="center"/>
              <w:rPr>
                <w:rFonts w:ascii="宋体" w:hAnsi="宋体"/>
                <w:kern w:val="0"/>
                <w:sz w:val="24"/>
                <w:szCs w:val="24"/>
              </w:rPr>
            </w:pPr>
            <w:r>
              <w:rPr>
                <w:rFonts w:hint="eastAsia" w:ascii="宋体" w:hAnsi="宋体"/>
                <w:kern w:val="0"/>
                <w:sz w:val="24"/>
                <w:szCs w:val="24"/>
              </w:rPr>
              <w:t>项目评审/开标、评标</w:t>
            </w:r>
          </w:p>
        </w:tc>
        <w:tc>
          <w:tcPr>
            <w:tcW w:w="3261" w:type="dxa"/>
            <w:noWrap/>
            <w:vAlign w:val="top"/>
          </w:tcPr>
          <w:p w14:paraId="659A4634">
            <w:pPr>
              <w:spacing w:line="360" w:lineRule="auto"/>
              <w:jc w:val="center"/>
              <w:rPr>
                <w:rFonts w:ascii="宋体" w:hAnsi="宋体"/>
                <w:b w:val="0"/>
                <w:bCs w:val="0"/>
                <w:color w:val="auto"/>
                <w:kern w:val="0"/>
                <w:sz w:val="24"/>
                <w:szCs w:val="24"/>
              </w:rPr>
            </w:pPr>
            <w:r>
              <w:rPr>
                <w:rFonts w:hint="eastAsia" w:ascii="宋体" w:hAnsi="宋体"/>
                <w:b w:val="0"/>
                <w:bCs w:val="0"/>
                <w:color w:val="auto"/>
                <w:kern w:val="0"/>
                <w:sz w:val="24"/>
                <w:szCs w:val="24"/>
                <w:lang w:val="en-US" w:eastAsia="zh-CN"/>
              </w:rPr>
              <w:t>2024年11月</w:t>
            </w:r>
          </w:p>
        </w:tc>
      </w:tr>
      <w:tr w14:paraId="3583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441FE4BE">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63E7A671">
            <w:pPr>
              <w:tabs>
                <w:tab w:val="left" w:pos="864"/>
              </w:tabs>
              <w:spacing w:line="360" w:lineRule="auto"/>
              <w:jc w:val="center"/>
              <w:rPr>
                <w:rFonts w:ascii="宋体" w:hAnsi="宋体"/>
                <w:kern w:val="0"/>
                <w:sz w:val="24"/>
                <w:szCs w:val="24"/>
              </w:rPr>
            </w:pPr>
            <w:r>
              <w:rPr>
                <w:rFonts w:hint="eastAsia" w:ascii="宋体" w:hAnsi="宋体"/>
                <w:kern w:val="0"/>
                <w:sz w:val="24"/>
                <w:szCs w:val="24"/>
              </w:rPr>
              <w:t>发布成交/中标公告</w:t>
            </w:r>
          </w:p>
        </w:tc>
        <w:tc>
          <w:tcPr>
            <w:tcW w:w="3261" w:type="dxa"/>
            <w:noWrap/>
            <w:vAlign w:val="top"/>
          </w:tcPr>
          <w:p w14:paraId="1FE6CB24">
            <w:pPr>
              <w:spacing w:line="360" w:lineRule="auto"/>
              <w:jc w:val="center"/>
              <w:rPr>
                <w:rFonts w:ascii="宋体" w:hAnsi="宋体"/>
                <w:b w:val="0"/>
                <w:bCs w:val="0"/>
                <w:color w:val="auto"/>
                <w:kern w:val="0"/>
                <w:sz w:val="24"/>
                <w:szCs w:val="24"/>
              </w:rPr>
            </w:pPr>
            <w:r>
              <w:rPr>
                <w:rFonts w:hint="eastAsia" w:ascii="宋体" w:hAnsi="宋体"/>
                <w:b w:val="0"/>
                <w:bCs w:val="0"/>
                <w:color w:val="auto"/>
                <w:kern w:val="0"/>
                <w:sz w:val="24"/>
                <w:szCs w:val="24"/>
                <w:lang w:val="en-US" w:eastAsia="zh-CN"/>
              </w:rPr>
              <w:t>2024年11月</w:t>
            </w:r>
          </w:p>
        </w:tc>
      </w:tr>
      <w:tr w14:paraId="2639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72" w:type="pct"/>
            <w:noWrap/>
            <w:vAlign w:val="top"/>
          </w:tcPr>
          <w:p w14:paraId="3F480F2F">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2ECB0F3B">
            <w:pPr>
              <w:tabs>
                <w:tab w:val="left" w:pos="864"/>
              </w:tabs>
              <w:spacing w:line="360" w:lineRule="auto"/>
              <w:jc w:val="center"/>
              <w:rPr>
                <w:rFonts w:ascii="宋体" w:hAnsi="宋体"/>
                <w:kern w:val="0"/>
                <w:sz w:val="24"/>
                <w:szCs w:val="24"/>
              </w:rPr>
            </w:pPr>
            <w:r>
              <w:rPr>
                <w:rFonts w:hint="eastAsia" w:ascii="宋体" w:hAnsi="宋体"/>
                <w:kern w:val="0"/>
                <w:sz w:val="24"/>
                <w:szCs w:val="24"/>
              </w:rPr>
              <w:t>签订采购合同</w:t>
            </w:r>
          </w:p>
        </w:tc>
        <w:tc>
          <w:tcPr>
            <w:tcW w:w="3261" w:type="dxa"/>
            <w:noWrap/>
            <w:vAlign w:val="top"/>
          </w:tcPr>
          <w:p w14:paraId="3E90284E">
            <w:pPr>
              <w:spacing w:line="360" w:lineRule="auto"/>
              <w:jc w:val="center"/>
              <w:rPr>
                <w:rFonts w:ascii="宋体" w:hAnsi="宋体"/>
                <w:b w:val="0"/>
                <w:bCs w:val="0"/>
                <w:color w:val="auto"/>
                <w:kern w:val="0"/>
                <w:sz w:val="24"/>
                <w:szCs w:val="24"/>
              </w:rPr>
            </w:pPr>
            <w:r>
              <w:rPr>
                <w:rFonts w:hint="eastAsia" w:ascii="宋体" w:hAnsi="宋体"/>
                <w:b w:val="0"/>
                <w:bCs w:val="0"/>
                <w:color w:val="auto"/>
                <w:kern w:val="0"/>
                <w:sz w:val="24"/>
                <w:szCs w:val="24"/>
                <w:lang w:val="en-US" w:eastAsia="zh-CN"/>
              </w:rPr>
              <w:t>2024年12月</w:t>
            </w:r>
          </w:p>
        </w:tc>
      </w:tr>
      <w:bookmarkEnd w:id="15"/>
    </w:tbl>
    <w:p w14:paraId="403B0ADE">
      <w:pPr>
        <w:pStyle w:val="13"/>
        <w:spacing w:line="360" w:lineRule="auto"/>
        <w:ind w:firstLine="482"/>
        <w:rPr>
          <w:rFonts w:ascii="宋体" w:hAnsi="宋体"/>
          <w:b/>
          <w:bCs/>
          <w:sz w:val="24"/>
          <w:szCs w:val="24"/>
        </w:rPr>
      </w:pPr>
      <w:bookmarkStart w:id="2" w:name="_Toc17074"/>
      <w:r>
        <w:rPr>
          <w:rFonts w:hint="eastAsia" w:ascii="宋体" w:hAnsi="宋体"/>
          <w:b/>
          <w:bCs/>
          <w:sz w:val="24"/>
          <w:szCs w:val="24"/>
        </w:rPr>
        <w:t>（三）采购组织形式和委托代理安排</w:t>
      </w:r>
      <w:bookmarkEnd w:id="2"/>
    </w:p>
    <w:p w14:paraId="0305A6BE">
      <w:pPr>
        <w:widowControl/>
        <w:spacing w:line="360" w:lineRule="auto"/>
        <w:ind w:firstLine="600"/>
        <w:jc w:val="left"/>
        <w:rPr>
          <w:rFonts w:ascii="宋体" w:hAnsi="宋体" w:cs="仿宋"/>
          <w:sz w:val="24"/>
          <w:szCs w:val="24"/>
        </w:rPr>
      </w:pPr>
      <w:r>
        <w:rPr>
          <w:rFonts w:hint="eastAsia" w:ascii="宋体" w:hAnsi="宋体" w:cs="仿宋"/>
          <w:sz w:val="24"/>
          <w:szCs w:val="24"/>
        </w:rPr>
        <w:t>1</w:t>
      </w:r>
      <w:r>
        <w:rPr>
          <w:rFonts w:ascii="宋体" w:hAnsi="宋体" w:cs="仿宋"/>
          <w:sz w:val="24"/>
          <w:szCs w:val="24"/>
        </w:rPr>
        <w:t>.</w:t>
      </w:r>
      <w:r>
        <w:rPr>
          <w:rFonts w:hint="eastAsia" w:ascii="宋体" w:hAnsi="宋体" w:cs="仿宋"/>
          <w:sz w:val="24"/>
          <w:szCs w:val="24"/>
        </w:rPr>
        <w:t>采购组织形式</w:t>
      </w:r>
    </w:p>
    <w:p w14:paraId="4E69BBEB">
      <w:pPr>
        <w:widowControl/>
        <w:spacing w:line="360" w:lineRule="auto"/>
        <w:ind w:firstLine="600"/>
        <w:jc w:val="left"/>
        <w:rPr>
          <w:rFonts w:ascii="宋体" w:hAnsi="宋体" w:cs="仿宋"/>
          <w:sz w:val="24"/>
          <w:szCs w:val="24"/>
        </w:rPr>
      </w:pPr>
      <w:r>
        <w:rPr>
          <w:rFonts w:hint="eastAsia" w:ascii="宋体" w:hAnsi="宋体" w:cs="仿宋"/>
          <w:sz w:val="24"/>
          <w:szCs w:val="24"/>
        </w:rPr>
        <w:t>□自行采购</w:t>
      </w:r>
    </w:p>
    <w:p w14:paraId="65FB5B4F">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委托代理公司采购</w:t>
      </w:r>
    </w:p>
    <w:p w14:paraId="4C944CDB">
      <w:pPr>
        <w:widowControl/>
        <w:spacing w:line="360" w:lineRule="auto"/>
        <w:ind w:firstLine="600"/>
        <w:jc w:val="left"/>
        <w:rPr>
          <w:rFonts w:ascii="宋体" w:hAnsi="宋体" w:cs="仿宋"/>
          <w:sz w:val="24"/>
          <w:szCs w:val="24"/>
        </w:rPr>
      </w:pPr>
      <w:r>
        <w:rPr>
          <w:rFonts w:hint="eastAsia" w:ascii="宋体" w:hAnsi="宋体" w:cs="仿宋"/>
          <w:sz w:val="24"/>
          <w:szCs w:val="24"/>
        </w:rPr>
        <w:t>2</w:t>
      </w:r>
      <w:r>
        <w:rPr>
          <w:rFonts w:ascii="宋体" w:hAnsi="宋体" w:cs="仿宋"/>
          <w:sz w:val="24"/>
          <w:szCs w:val="24"/>
        </w:rPr>
        <w:t>.</w:t>
      </w:r>
      <w:r>
        <w:rPr>
          <w:rFonts w:hint="eastAsia" w:ascii="宋体" w:hAnsi="宋体" w:cs="仿宋"/>
          <w:sz w:val="24"/>
          <w:szCs w:val="24"/>
        </w:rPr>
        <w:t>委托代理安排：委托代理采购</w:t>
      </w:r>
    </w:p>
    <w:p w14:paraId="265B08EC">
      <w:pPr>
        <w:widowControl/>
        <w:spacing w:line="360" w:lineRule="auto"/>
        <w:ind w:firstLine="600"/>
        <w:jc w:val="left"/>
        <w:rPr>
          <w:rFonts w:ascii="宋体" w:hAnsi="宋体" w:cs="仿宋"/>
          <w:sz w:val="24"/>
          <w:szCs w:val="24"/>
        </w:rPr>
      </w:pPr>
      <w:r>
        <w:rPr>
          <w:rFonts w:ascii="宋体" w:hAnsi="宋体" w:cs="仿宋"/>
          <w:sz w:val="24"/>
          <w:szCs w:val="24"/>
        </w:rPr>
        <w:t>3.</w:t>
      </w:r>
      <w:r>
        <w:rPr>
          <w:rFonts w:hint="eastAsia" w:ascii="宋体" w:hAnsi="宋体" w:cs="仿宋"/>
          <w:sz w:val="24"/>
          <w:szCs w:val="24"/>
        </w:rPr>
        <w:t>采购信息发布媒体（可多选）：</w:t>
      </w:r>
    </w:p>
    <w:p w14:paraId="431A2A3E">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lang w:val="en-US" w:eastAsia="zh-CN"/>
        </w:rPr>
        <w:t>湄洲湾职业技术学院后勤通告</w:t>
      </w:r>
      <w:r>
        <w:rPr>
          <w:rFonts w:hint="eastAsia" w:ascii="宋体" w:hAnsi="宋体" w:cs="仿宋"/>
          <w:sz w:val="24"/>
          <w:szCs w:val="24"/>
        </w:rPr>
        <w:t>主页</w:t>
      </w:r>
    </w:p>
    <w:p w14:paraId="411A7F55">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中国政府采购网</w:t>
      </w:r>
    </w:p>
    <w:p w14:paraId="70DD7F97">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福建</w:t>
      </w:r>
      <w:r>
        <w:rPr>
          <w:rFonts w:hint="eastAsia" w:ascii="宋体" w:hAnsi="宋体" w:cs="仿宋"/>
          <w:sz w:val="24"/>
          <w:szCs w:val="24"/>
        </w:rPr>
        <w:t>省公共资源交易中心网站</w:t>
      </w:r>
    </w:p>
    <w:p w14:paraId="4F86A497">
      <w:pPr>
        <w:widowControl/>
        <w:spacing w:line="360" w:lineRule="auto"/>
        <w:ind w:firstLine="600"/>
        <w:jc w:val="left"/>
        <w:rPr>
          <w:rFonts w:hint="eastAsia" w:ascii="宋体" w:hAnsi="宋体" w:cs="仿宋"/>
          <w:sz w:val="24"/>
          <w:szCs w:val="24"/>
        </w:rPr>
      </w:pPr>
      <w:r>
        <w:rPr>
          <w:rFonts w:hint="eastAsia" w:ascii="宋体" w:hAnsi="宋体" w:cs="仿宋"/>
          <w:sz w:val="24"/>
          <w:szCs w:val="24"/>
        </w:rPr>
        <w:t>□其他：</w:t>
      </w:r>
    </w:p>
    <w:p w14:paraId="344B91F4">
      <w:pPr>
        <w:rPr>
          <w:rFonts w:hint="eastAsia" w:ascii="宋体" w:hAnsi="宋体" w:cs="仿宋"/>
          <w:sz w:val="24"/>
          <w:szCs w:val="24"/>
        </w:rPr>
      </w:pPr>
      <w:r>
        <w:rPr>
          <w:rFonts w:hint="eastAsia" w:ascii="宋体" w:hAnsi="宋体" w:cs="仿宋"/>
          <w:sz w:val="24"/>
          <w:szCs w:val="24"/>
        </w:rPr>
        <w:br w:type="page"/>
      </w:r>
    </w:p>
    <w:p w14:paraId="5FF83942">
      <w:pPr>
        <w:pStyle w:val="13"/>
        <w:spacing w:line="360" w:lineRule="auto"/>
        <w:ind w:firstLine="482"/>
        <w:rPr>
          <w:rFonts w:hint="eastAsia" w:ascii="宋体" w:hAnsi="宋体"/>
          <w:b/>
          <w:bCs/>
          <w:sz w:val="24"/>
          <w:szCs w:val="24"/>
        </w:rPr>
        <w:sectPr>
          <w:pgSz w:w="11906" w:h="16838"/>
          <w:pgMar w:top="1440" w:right="1800" w:bottom="1440" w:left="1800" w:header="851" w:footer="992" w:gutter="0"/>
          <w:cols w:space="425" w:num="1"/>
          <w:docGrid w:type="lines" w:linePitch="312" w:charSpace="0"/>
        </w:sectPr>
      </w:pPr>
      <w:bookmarkStart w:id="3" w:name="_Toc32558"/>
    </w:p>
    <w:p w14:paraId="6EB1AEA3">
      <w:pPr>
        <w:pStyle w:val="13"/>
        <w:spacing w:line="360" w:lineRule="auto"/>
        <w:ind w:firstLine="482"/>
        <w:rPr>
          <w:rFonts w:ascii="宋体" w:hAnsi="宋体"/>
          <w:b/>
          <w:bCs/>
          <w:sz w:val="24"/>
          <w:szCs w:val="24"/>
        </w:rPr>
      </w:pPr>
      <w:r>
        <w:rPr>
          <w:rFonts w:hint="eastAsia" w:ascii="宋体" w:hAnsi="宋体"/>
          <w:b/>
          <w:bCs/>
          <w:sz w:val="24"/>
          <w:szCs w:val="24"/>
        </w:rPr>
        <w:t>（四）采购包划分与合同分包</w:t>
      </w:r>
      <w:bookmarkEnd w:id="3"/>
    </w:p>
    <w:p w14:paraId="3EB5233D">
      <w:pPr>
        <w:widowControl/>
        <w:spacing w:line="360" w:lineRule="auto"/>
        <w:ind w:firstLine="600"/>
        <w:jc w:val="left"/>
        <w:rPr>
          <w:rFonts w:hint="eastAsia" w:ascii="宋体" w:hAnsi="宋体" w:cs="仿宋"/>
          <w:sz w:val="24"/>
          <w:szCs w:val="24"/>
        </w:rPr>
      </w:pPr>
      <w:r>
        <w:rPr>
          <w:rFonts w:hint="eastAsia" w:ascii="宋体" w:hAnsi="宋体" w:cs="仿宋"/>
          <w:sz w:val="24"/>
          <w:szCs w:val="24"/>
        </w:rPr>
        <w:t>标包一：</w:t>
      </w:r>
    </w:p>
    <w:tbl>
      <w:tblPr>
        <w:tblStyle w:val="9"/>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80"/>
        <w:gridCol w:w="3806"/>
        <w:gridCol w:w="754"/>
        <w:gridCol w:w="735"/>
        <w:gridCol w:w="1320"/>
        <w:gridCol w:w="1252"/>
      </w:tblGrid>
      <w:tr w14:paraId="64DD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22" w:type="dxa"/>
            <w:vAlign w:val="center"/>
          </w:tcPr>
          <w:p w14:paraId="6FFAF9F2">
            <w:pPr>
              <w:autoSpaceDE w:val="0"/>
              <w:autoSpaceDN w:val="0"/>
              <w:adjustRightInd w:val="0"/>
              <w:snapToGrid w:val="0"/>
              <w:spacing w:line="360" w:lineRule="auto"/>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序号</w:t>
            </w:r>
          </w:p>
        </w:tc>
        <w:tc>
          <w:tcPr>
            <w:tcW w:w="1380" w:type="dxa"/>
            <w:vAlign w:val="center"/>
          </w:tcPr>
          <w:p w14:paraId="05D63D86">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名称</w:t>
            </w:r>
          </w:p>
        </w:tc>
        <w:tc>
          <w:tcPr>
            <w:tcW w:w="3806" w:type="dxa"/>
            <w:vAlign w:val="center"/>
          </w:tcPr>
          <w:p w14:paraId="74921D6F">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技术参数及功能要求</w:t>
            </w:r>
          </w:p>
        </w:tc>
        <w:tc>
          <w:tcPr>
            <w:tcW w:w="754" w:type="dxa"/>
            <w:vAlign w:val="center"/>
          </w:tcPr>
          <w:p w14:paraId="235A8F41">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数量</w:t>
            </w:r>
          </w:p>
        </w:tc>
        <w:tc>
          <w:tcPr>
            <w:tcW w:w="735" w:type="dxa"/>
            <w:vAlign w:val="center"/>
          </w:tcPr>
          <w:p w14:paraId="676B458B">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单位</w:t>
            </w:r>
          </w:p>
        </w:tc>
        <w:tc>
          <w:tcPr>
            <w:tcW w:w="1320" w:type="dxa"/>
            <w:vAlign w:val="center"/>
          </w:tcPr>
          <w:p w14:paraId="5787E0FD">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预算单价</w:t>
            </w:r>
          </w:p>
          <w:p w14:paraId="4740A67D">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snapToGrid w:val="0"/>
                <w:color w:val="auto"/>
                <w:spacing w:val="-20"/>
                <w:kern w:val="0"/>
                <w:sz w:val="24"/>
                <w:szCs w:val="24"/>
              </w:rPr>
            </w:pPr>
            <w:r>
              <w:rPr>
                <w:rFonts w:hint="eastAsia" w:asciiTheme="majorEastAsia" w:hAnsiTheme="majorEastAsia" w:eastAsiaTheme="majorEastAsia" w:cstheme="majorEastAsia"/>
                <w:b w:val="0"/>
                <w:bCs w:val="0"/>
                <w:snapToGrid w:val="0"/>
                <w:color w:val="auto"/>
                <w:spacing w:val="-20"/>
                <w:kern w:val="0"/>
                <w:sz w:val="24"/>
                <w:szCs w:val="24"/>
              </w:rPr>
              <w:t>（元）</w:t>
            </w:r>
          </w:p>
        </w:tc>
        <w:tc>
          <w:tcPr>
            <w:tcW w:w="1252" w:type="dxa"/>
            <w:vAlign w:val="center"/>
          </w:tcPr>
          <w:p w14:paraId="77A0D205">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预算金额</w:t>
            </w:r>
          </w:p>
          <w:p w14:paraId="1EE473B8">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color w:val="auto"/>
                <w:kern w:val="24"/>
                <w:sz w:val="24"/>
                <w:szCs w:val="24"/>
              </w:rPr>
            </w:pPr>
            <w:r>
              <w:rPr>
                <w:rFonts w:hint="eastAsia" w:asciiTheme="majorEastAsia" w:hAnsiTheme="majorEastAsia" w:eastAsiaTheme="majorEastAsia" w:cstheme="majorEastAsia"/>
                <w:b w:val="0"/>
                <w:bCs w:val="0"/>
                <w:snapToGrid w:val="0"/>
                <w:color w:val="auto"/>
                <w:spacing w:val="-20"/>
                <w:kern w:val="0"/>
                <w:sz w:val="24"/>
                <w:szCs w:val="24"/>
              </w:rPr>
              <w:t>（元）</w:t>
            </w:r>
          </w:p>
        </w:tc>
      </w:tr>
      <w:tr w14:paraId="04F6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2" w:type="dxa"/>
            <w:vAlign w:val="center"/>
          </w:tcPr>
          <w:p w14:paraId="2B2C1AF7">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rPr>
              <w:t>1</w:t>
            </w:r>
          </w:p>
        </w:tc>
        <w:tc>
          <w:tcPr>
            <w:tcW w:w="1380" w:type="dxa"/>
            <w:vAlign w:val="center"/>
          </w:tcPr>
          <w:p w14:paraId="3D1A1829">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lang w:eastAsia="zh-Hans"/>
              </w:rPr>
              <w:t>综合鉴定实训台</w:t>
            </w:r>
          </w:p>
        </w:tc>
        <w:tc>
          <w:tcPr>
            <w:tcW w:w="3806" w:type="dxa"/>
            <w:shd w:val="clear" w:color="auto" w:fill="auto"/>
            <w:vAlign w:val="center"/>
          </w:tcPr>
          <w:p w14:paraId="6FF7AA9D">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1.工作台整体规格：边长1500mm正三角型设计,台面高度700mm；可三台组合使用，也可单台独立使用。</w:t>
            </w:r>
          </w:p>
          <w:p w14:paraId="51F8662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2.框架结构：工作台采用钣金、钢架结构，可三合一自由组合整机结构稳固、耐用、美观精致。钣金表面经酸洗、磷化、表面环氧树脂粉末静电75um喷涂，180℃高温固化处理，具有较强的耐蚀性及承重性；</w:t>
            </w:r>
          </w:p>
          <w:p w14:paraId="6ABDCE0D">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3.板材：工作台面采用实验室专用耐磨、耐水、耐化学侵蚀的黑色实芯理化板；</w:t>
            </w:r>
          </w:p>
          <w:p w14:paraId="61B4CC47">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4.内置工控智能照明控制系统，实现精确控制开关及亮度调节，触屏多页面切换，安全快捷；</w:t>
            </w:r>
          </w:p>
          <w:p w14:paraId="13A9865A">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5.整机输入电压：AC 220V±10%；</w:t>
            </w:r>
          </w:p>
          <w:p w14:paraId="3EB0A552">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6.固态电压调节器：10A；</w:t>
            </w:r>
          </w:p>
          <w:p w14:paraId="4CE3F640">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7.继电器电耐久性：100,000次；</w:t>
            </w:r>
          </w:p>
          <w:p w14:paraId="1D1D8E6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8.整机最大功率：750W；</w:t>
            </w:r>
          </w:p>
          <w:p w14:paraId="0FA87A8A">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9.触摸屏：7寸工业级工控触摸屏</w:t>
            </w:r>
          </w:p>
          <w:p w14:paraId="20CF1CE1">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9.1）</w:t>
            </w:r>
            <w:r>
              <w:rPr>
                <w:rFonts w:hint="eastAsia" w:ascii="宋体" w:hAnsi="宋体" w:eastAsia="宋体" w:cs="宋体"/>
                <w:sz w:val="21"/>
                <w:szCs w:val="21"/>
              </w:rPr>
              <w:t>所有仪器照明通过工控触摸屏精确控制开关及亮度调节(显微镜的亮度单独控制)；</w:t>
            </w:r>
          </w:p>
          <w:p w14:paraId="3A835153">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9.2）</w:t>
            </w:r>
            <w:r>
              <w:rPr>
                <w:rFonts w:hint="eastAsia" w:ascii="宋体" w:hAnsi="宋体" w:eastAsia="宋体" w:cs="宋体"/>
                <w:sz w:val="21"/>
                <w:szCs w:val="21"/>
              </w:rPr>
              <w:t>工控触屏操作稳定，安全快捷；</w:t>
            </w:r>
          </w:p>
          <w:p w14:paraId="72DF3B6A">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整机设计科学，结构稳固、耐用，配备齐全；</w:t>
            </w:r>
          </w:p>
          <w:p w14:paraId="04E7114F">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有机组合了十多种钻石分级及宝玉石鉴定常规仪器，完全满足常规实训室教学需要；</w:t>
            </w:r>
          </w:p>
          <w:p w14:paraId="2D09FE15">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包含仪器配件：</w:t>
            </w:r>
          </w:p>
          <w:p w14:paraId="7686675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12.1）</w:t>
            </w:r>
            <w:r>
              <w:rPr>
                <w:rFonts w:hint="eastAsia" w:ascii="宋体" w:hAnsi="宋体" w:eastAsia="宋体" w:cs="宋体"/>
                <w:sz w:val="21"/>
                <w:szCs w:val="21"/>
              </w:rPr>
              <w:t>1台旋臂式宝石显微镜</w:t>
            </w:r>
          </w:p>
          <w:p w14:paraId="449F22E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倍率:4.5X-50X连续可变;；</w:t>
            </w:r>
          </w:p>
          <w:p w14:paraId="39D208D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2.3）1</w:t>
            </w:r>
            <w:r>
              <w:rPr>
                <w:rFonts w:hint="eastAsia" w:ascii="宋体" w:hAnsi="宋体" w:eastAsia="宋体" w:cs="宋体"/>
                <w:sz w:val="21"/>
                <w:szCs w:val="21"/>
              </w:rPr>
              <w:t>台宝石折射仪</w:t>
            </w:r>
          </w:p>
          <w:p w14:paraId="068F4454">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12.4）</w:t>
            </w:r>
            <w:r>
              <w:rPr>
                <w:rFonts w:hint="eastAsia" w:ascii="宋体" w:hAnsi="宋体" w:eastAsia="宋体" w:cs="宋体"/>
                <w:sz w:val="21"/>
                <w:szCs w:val="21"/>
              </w:rPr>
              <w:t>示值误差：≦0.002</w:t>
            </w:r>
          </w:p>
          <w:p w14:paraId="18621F6F">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12.5）</w:t>
            </w:r>
            <w:r>
              <w:rPr>
                <w:rFonts w:hint="eastAsia" w:ascii="宋体" w:hAnsi="宋体" w:eastAsia="宋体" w:cs="宋体"/>
                <w:sz w:val="21"/>
                <w:szCs w:val="21"/>
              </w:rPr>
              <w:t>1台紫外灯</w:t>
            </w:r>
          </w:p>
          <w:p w14:paraId="479BFE82">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12.6）</w:t>
            </w:r>
            <w:r>
              <w:rPr>
                <w:rFonts w:hint="eastAsia" w:ascii="宋体" w:hAnsi="宋体" w:eastAsia="宋体" w:cs="宋体"/>
                <w:sz w:val="21"/>
                <w:szCs w:val="21"/>
              </w:rPr>
              <w:t>1台可调分光镜</w:t>
            </w:r>
          </w:p>
          <w:p w14:paraId="2DB7331B">
            <w:pPr>
              <w:widowControl/>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12.7）</w:t>
            </w:r>
            <w:r>
              <w:rPr>
                <w:rFonts w:hint="eastAsia" w:ascii="宋体" w:hAnsi="宋体" w:eastAsia="宋体" w:cs="宋体"/>
                <w:sz w:val="21"/>
                <w:szCs w:val="21"/>
              </w:rPr>
              <w:t>1台光纤灯</w:t>
            </w:r>
            <w:r>
              <w:rPr>
                <w:rFonts w:hint="eastAsia" w:ascii="宋体" w:hAnsi="宋体" w:eastAsia="宋体" w:cs="宋体"/>
                <w:sz w:val="21"/>
                <w:szCs w:val="21"/>
                <w:lang w:eastAsia="zh-CN"/>
              </w:rPr>
              <w:t>（</w:t>
            </w:r>
            <w:r>
              <w:rPr>
                <w:rFonts w:hint="eastAsia" w:ascii="宋体" w:hAnsi="宋体" w:eastAsia="宋体" w:cs="宋体"/>
                <w:sz w:val="21"/>
                <w:szCs w:val="21"/>
              </w:rPr>
              <w:t>高效光纤灯采用24V</w:t>
            </w:r>
            <w:r>
              <w:rPr>
                <w:rFonts w:hint="eastAsia" w:ascii="宋体" w:hAnsi="宋体" w:eastAsia="宋体" w:cs="宋体"/>
                <w:sz w:val="21"/>
                <w:szCs w:val="21"/>
                <w:lang w:eastAsia="zh-CN"/>
              </w:rPr>
              <w:t>，</w:t>
            </w:r>
            <w:r>
              <w:rPr>
                <w:rFonts w:hint="eastAsia" w:ascii="宋体" w:hAnsi="宋体" w:eastAsia="宋体" w:cs="宋体"/>
                <w:sz w:val="21"/>
                <w:szCs w:val="21"/>
              </w:rPr>
              <w:t>100W</w:t>
            </w:r>
            <w:r>
              <w:rPr>
                <w:rFonts w:hint="eastAsia" w:ascii="宋体" w:hAnsi="宋体" w:eastAsia="宋体" w:cs="宋体"/>
                <w:sz w:val="21"/>
                <w:szCs w:val="21"/>
                <w:lang w:eastAsia="zh-CN"/>
              </w:rPr>
              <w:t>，</w:t>
            </w:r>
            <w:r>
              <w:rPr>
                <w:rFonts w:hint="eastAsia" w:ascii="宋体" w:hAnsi="宋体" w:eastAsia="宋体" w:cs="宋体"/>
                <w:sz w:val="21"/>
                <w:szCs w:val="21"/>
              </w:rPr>
              <w:t>可调高效光源；长55cm 防折断特性光纤输出；双硬光纤管</w:t>
            </w:r>
            <w:r>
              <w:rPr>
                <w:rFonts w:hint="eastAsia" w:ascii="宋体" w:hAnsi="宋体" w:eastAsia="宋体" w:cs="宋体"/>
                <w:sz w:val="21"/>
                <w:szCs w:val="21"/>
                <w:lang w:eastAsia="zh-CN"/>
              </w:rPr>
              <w:t>）</w:t>
            </w:r>
          </w:p>
          <w:p w14:paraId="0EC288F5">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12.8）</w:t>
            </w:r>
            <w:r>
              <w:rPr>
                <w:rFonts w:hint="eastAsia" w:ascii="宋体" w:hAnsi="宋体" w:eastAsia="宋体" w:cs="宋体"/>
                <w:sz w:val="21"/>
                <w:szCs w:val="21"/>
              </w:rPr>
              <w:t>1支棱镜式分光镜</w:t>
            </w:r>
          </w:p>
          <w:p w14:paraId="70252945">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12.9）</w:t>
            </w:r>
            <w:r>
              <w:rPr>
                <w:rFonts w:hint="eastAsia" w:ascii="宋体" w:hAnsi="宋体" w:eastAsia="宋体" w:cs="宋体"/>
                <w:sz w:val="21"/>
                <w:szCs w:val="21"/>
              </w:rPr>
              <w:t>1支光栅式分光镜</w:t>
            </w:r>
          </w:p>
          <w:p w14:paraId="7109A559">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12.10）</w:t>
            </w:r>
            <w:r>
              <w:rPr>
                <w:rFonts w:hint="eastAsia" w:ascii="宋体" w:hAnsi="宋体" w:eastAsia="宋体" w:cs="宋体"/>
                <w:sz w:val="21"/>
                <w:szCs w:val="21"/>
              </w:rPr>
              <w:t>1支二色镜；</w:t>
            </w:r>
          </w:p>
          <w:p w14:paraId="7B79C05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12.11）</w:t>
            </w:r>
            <w:r>
              <w:rPr>
                <w:rFonts w:hint="eastAsia" w:ascii="宋体" w:hAnsi="宋体" w:eastAsia="宋体" w:cs="宋体"/>
                <w:sz w:val="21"/>
                <w:szCs w:val="21"/>
              </w:rPr>
              <w:t>1个查尔斯滤色镜</w:t>
            </w:r>
          </w:p>
          <w:p w14:paraId="70C229C2">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12.12） </w:t>
            </w:r>
            <w:r>
              <w:rPr>
                <w:rFonts w:hint="eastAsia" w:ascii="宋体" w:hAnsi="宋体" w:eastAsia="宋体" w:cs="宋体"/>
                <w:sz w:val="21"/>
                <w:szCs w:val="21"/>
              </w:rPr>
              <w:t>1个宝石放大镜（10倍，直径21mm，三组合，消色差,像差）</w:t>
            </w:r>
          </w:p>
          <w:p w14:paraId="26989AE1">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12.13）</w:t>
            </w:r>
            <w:r>
              <w:rPr>
                <w:rFonts w:hint="eastAsia" w:ascii="宋体" w:hAnsi="宋体" w:eastAsia="宋体" w:cs="宋体"/>
                <w:sz w:val="21"/>
                <w:szCs w:val="21"/>
              </w:rPr>
              <w:t>1把宝石镊子</w:t>
            </w:r>
          </w:p>
          <w:p w14:paraId="44EDDCC5">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12.14）</w:t>
            </w:r>
            <w:r>
              <w:rPr>
                <w:rFonts w:hint="eastAsia" w:ascii="宋体" w:hAnsi="宋体" w:eastAsia="宋体" w:cs="宋体"/>
                <w:sz w:val="21"/>
                <w:szCs w:val="21"/>
              </w:rPr>
              <w:t>1台钻石分级灯</w:t>
            </w:r>
          </w:p>
          <w:p w14:paraId="4DCD872A">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12.15）</w:t>
            </w:r>
            <w:r>
              <w:rPr>
                <w:rFonts w:hint="eastAsia" w:ascii="宋体" w:hAnsi="宋体" w:eastAsia="宋体" w:cs="宋体"/>
                <w:sz w:val="21"/>
                <w:szCs w:val="21"/>
              </w:rPr>
              <w:t>1支切工镜</w:t>
            </w:r>
          </w:p>
          <w:p w14:paraId="222B0F4F">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12.16）</w:t>
            </w:r>
            <w:r>
              <w:rPr>
                <w:rFonts w:hint="eastAsia" w:ascii="宋体" w:hAnsi="宋体" w:eastAsia="宋体" w:cs="宋体"/>
                <w:sz w:val="21"/>
                <w:szCs w:val="21"/>
              </w:rPr>
              <w:t>1台克拉称</w:t>
            </w:r>
          </w:p>
          <w:p w14:paraId="7F2D1927">
            <w:pPr>
              <w:widowControl/>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12.17）</w:t>
            </w:r>
            <w:r>
              <w:rPr>
                <w:rFonts w:hint="eastAsia" w:ascii="宋体" w:hAnsi="宋体" w:eastAsia="宋体" w:cs="宋体"/>
                <w:sz w:val="21"/>
                <w:szCs w:val="21"/>
              </w:rPr>
              <w:t>1套静水称重器</w:t>
            </w:r>
            <w:r>
              <w:rPr>
                <w:rFonts w:hint="eastAsia" w:ascii="宋体" w:hAnsi="宋体" w:eastAsia="宋体" w:cs="宋体"/>
                <w:sz w:val="21"/>
                <w:szCs w:val="21"/>
                <w:lang w:eastAsia="zh-CN"/>
              </w:rPr>
              <w:t>（</w:t>
            </w:r>
            <w:r>
              <w:rPr>
                <w:rFonts w:hint="eastAsia" w:ascii="宋体" w:hAnsi="宋体" w:eastAsia="宋体" w:cs="宋体"/>
                <w:sz w:val="21"/>
                <w:szCs w:val="21"/>
              </w:rPr>
              <w:t xml:space="preserve">称量能力：Max=120g；最小显示值：0.1mg </w:t>
            </w:r>
            <w:r>
              <w:rPr>
                <w:rFonts w:hint="eastAsia" w:ascii="宋体" w:hAnsi="宋体" w:eastAsia="宋体" w:cs="宋体"/>
                <w:sz w:val="21"/>
                <w:szCs w:val="21"/>
                <w:lang w:eastAsia="zh-CN"/>
              </w:rPr>
              <w:t>）</w:t>
            </w:r>
          </w:p>
          <w:p w14:paraId="08B46D3B">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12.18）</w:t>
            </w:r>
            <w:r>
              <w:rPr>
                <w:rFonts w:hint="eastAsia" w:ascii="宋体" w:hAnsi="宋体" w:eastAsia="宋体" w:cs="宋体"/>
                <w:sz w:val="21"/>
                <w:szCs w:val="21"/>
              </w:rPr>
              <w:t>1个计算器、1个电筒</w:t>
            </w:r>
          </w:p>
        </w:tc>
        <w:tc>
          <w:tcPr>
            <w:tcW w:w="754" w:type="dxa"/>
            <w:vAlign w:val="center"/>
          </w:tcPr>
          <w:p w14:paraId="218E906F">
            <w:pPr>
              <w:adjustRightInd w:val="0"/>
              <w:snapToGrid w:val="0"/>
              <w:jc w:val="center"/>
              <w:rPr>
                <w:rFonts w:hint="eastAsia" w:ascii="Times New Roman" w:hAnsi="Times New Roman" w:eastAsia="仿宋" w:cs="仿宋"/>
                <w:color w:val="000000"/>
                <w:kern w:val="2"/>
                <w:sz w:val="21"/>
                <w:szCs w:val="21"/>
                <w:lang w:val="en-US" w:eastAsia="zh-CN" w:bidi="ar-SA"/>
              </w:rPr>
            </w:pPr>
            <w:r>
              <w:rPr>
                <w:rFonts w:hint="eastAsia" w:eastAsia="新宋体" w:cs="仿宋"/>
                <w:color w:val="000000"/>
                <w:szCs w:val="21"/>
                <w:lang w:val="en-US" w:eastAsia="zh-CN"/>
              </w:rPr>
              <w:t>2</w:t>
            </w:r>
          </w:p>
        </w:tc>
        <w:tc>
          <w:tcPr>
            <w:tcW w:w="735" w:type="dxa"/>
            <w:vAlign w:val="center"/>
          </w:tcPr>
          <w:p w14:paraId="70A25F95">
            <w:pPr>
              <w:adjustRightInd w:val="0"/>
              <w:snapToGrid w:val="0"/>
              <w:jc w:val="center"/>
              <w:rPr>
                <w:rFonts w:hint="eastAsia" w:ascii="Times New Roman" w:hAnsi="Times New Roman" w:eastAsia="仿宋" w:cs="仿宋"/>
                <w:color w:val="000000"/>
                <w:kern w:val="2"/>
                <w:sz w:val="21"/>
                <w:szCs w:val="21"/>
                <w:lang w:val="en-US" w:eastAsia="zh-CN" w:bidi="ar-SA"/>
              </w:rPr>
            </w:pPr>
            <w:r>
              <w:rPr>
                <w:rFonts w:hint="eastAsia" w:eastAsia="新宋体" w:cs="仿宋"/>
                <w:color w:val="000000"/>
                <w:szCs w:val="21"/>
              </w:rPr>
              <w:t>套</w:t>
            </w:r>
          </w:p>
        </w:tc>
        <w:tc>
          <w:tcPr>
            <w:tcW w:w="1320" w:type="dxa"/>
            <w:vAlign w:val="center"/>
          </w:tcPr>
          <w:p w14:paraId="7087021D">
            <w:pPr>
              <w:adjustRightInd w:val="0"/>
              <w:snapToGrid w:val="0"/>
              <w:jc w:val="center"/>
              <w:rPr>
                <w:rFonts w:hint="eastAsia" w:ascii="Times New Roman" w:hAnsi="Times New Roman" w:eastAsia="仿宋" w:cs="仿宋"/>
                <w:color w:val="000000"/>
                <w:kern w:val="2"/>
                <w:sz w:val="21"/>
                <w:szCs w:val="21"/>
                <w:lang w:val="en-US" w:eastAsia="zh-CN" w:bidi="ar-SA"/>
              </w:rPr>
            </w:pPr>
            <w:r>
              <w:rPr>
                <w:rFonts w:hint="eastAsia" w:eastAsia="新宋体"/>
                <w:color w:val="000000"/>
                <w:szCs w:val="21"/>
              </w:rPr>
              <w:t>6</w:t>
            </w:r>
            <w:r>
              <w:rPr>
                <w:rFonts w:hint="eastAsia" w:eastAsia="新宋体"/>
                <w:color w:val="000000"/>
                <w:szCs w:val="21"/>
                <w:lang w:val="en-US" w:eastAsia="zh-CN"/>
              </w:rPr>
              <w:t>00</w:t>
            </w:r>
            <w:r>
              <w:rPr>
                <w:rFonts w:hint="eastAsia" w:eastAsia="新宋体"/>
                <w:color w:val="000000"/>
                <w:szCs w:val="21"/>
              </w:rPr>
              <w:t>00</w:t>
            </w:r>
          </w:p>
        </w:tc>
        <w:tc>
          <w:tcPr>
            <w:tcW w:w="1252" w:type="dxa"/>
            <w:vAlign w:val="center"/>
          </w:tcPr>
          <w:p w14:paraId="1C8D7E3D">
            <w:pPr>
              <w:widowControl/>
              <w:jc w:val="left"/>
              <w:textAlignment w:val="center"/>
              <w:rPr>
                <w:rFonts w:hint="eastAsia" w:ascii="Times New Roman" w:hAnsi="Times New Roman" w:eastAsia="新宋体" w:cs="宋体"/>
                <w:kern w:val="2"/>
                <w:sz w:val="21"/>
                <w:szCs w:val="21"/>
                <w:lang w:val="en-US" w:eastAsia="zh-CN" w:bidi="ar-SA"/>
              </w:rPr>
            </w:pPr>
            <w:r>
              <w:rPr>
                <w:rFonts w:hint="eastAsia" w:eastAsia="等线"/>
                <w:color w:val="000000"/>
                <w:szCs w:val="21"/>
                <w:lang w:val="en-US" w:eastAsia="zh-CN"/>
              </w:rPr>
              <w:t>1200</w:t>
            </w:r>
            <w:r>
              <w:rPr>
                <w:rFonts w:hint="eastAsia" w:eastAsia="等线"/>
                <w:color w:val="000000"/>
                <w:szCs w:val="21"/>
              </w:rPr>
              <w:t>00</w:t>
            </w:r>
          </w:p>
        </w:tc>
      </w:tr>
      <w:tr w14:paraId="294F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822" w:type="dxa"/>
            <w:vAlign w:val="center"/>
          </w:tcPr>
          <w:p w14:paraId="0940CDA2">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rPr>
              <w:t>2</w:t>
            </w:r>
          </w:p>
        </w:tc>
        <w:tc>
          <w:tcPr>
            <w:tcW w:w="1380" w:type="dxa"/>
            <w:vAlign w:val="center"/>
          </w:tcPr>
          <w:p w14:paraId="31D5E33F">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rPr>
              <w:t>原石标本</w:t>
            </w:r>
          </w:p>
        </w:tc>
        <w:tc>
          <w:tcPr>
            <w:tcW w:w="3806" w:type="dxa"/>
            <w:shd w:val="clear" w:color="auto" w:fill="auto"/>
            <w:vAlign w:val="center"/>
          </w:tcPr>
          <w:p w14:paraId="40D297F0">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55颗</w:t>
            </w:r>
            <w:r>
              <w:rPr>
                <w:rFonts w:hint="eastAsia" w:ascii="宋体" w:hAnsi="宋体" w:eastAsia="宋体" w:cs="宋体"/>
                <w:sz w:val="21"/>
                <w:szCs w:val="21"/>
                <w:lang w:eastAsia="zh-Hans"/>
              </w:rPr>
              <w:t>/套，</w:t>
            </w:r>
            <w:r>
              <w:rPr>
                <w:rFonts w:hint="eastAsia" w:ascii="宋体" w:hAnsi="宋体" w:eastAsia="宋体" w:cs="宋体"/>
                <w:sz w:val="21"/>
                <w:szCs w:val="21"/>
              </w:rPr>
              <w:t>相关清单见附件一</w:t>
            </w:r>
          </w:p>
        </w:tc>
        <w:tc>
          <w:tcPr>
            <w:tcW w:w="754" w:type="dxa"/>
            <w:vAlign w:val="center"/>
          </w:tcPr>
          <w:p w14:paraId="45A4B3AF">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1</w:t>
            </w:r>
          </w:p>
        </w:tc>
        <w:tc>
          <w:tcPr>
            <w:tcW w:w="735" w:type="dxa"/>
            <w:vAlign w:val="center"/>
          </w:tcPr>
          <w:p w14:paraId="73C8CB91">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default" w:eastAsia="新宋体"/>
                <w:color w:val="000000"/>
                <w:szCs w:val="21"/>
                <w:lang w:val="en-US" w:eastAsia="zh-CN"/>
              </w:rPr>
              <w:t>套</w:t>
            </w:r>
          </w:p>
        </w:tc>
        <w:tc>
          <w:tcPr>
            <w:tcW w:w="1320" w:type="dxa"/>
            <w:vAlign w:val="center"/>
          </w:tcPr>
          <w:p w14:paraId="73BD6B78">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40000</w:t>
            </w:r>
          </w:p>
        </w:tc>
        <w:tc>
          <w:tcPr>
            <w:tcW w:w="1252" w:type="dxa"/>
            <w:vAlign w:val="center"/>
          </w:tcPr>
          <w:p w14:paraId="144A79E0">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40000</w:t>
            </w:r>
          </w:p>
        </w:tc>
      </w:tr>
      <w:tr w14:paraId="6AFD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14:paraId="2A7840F5">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rPr>
              <w:t>3</w:t>
            </w:r>
          </w:p>
        </w:tc>
        <w:tc>
          <w:tcPr>
            <w:tcW w:w="1380" w:type="dxa"/>
            <w:vAlign w:val="center"/>
          </w:tcPr>
          <w:p w14:paraId="4CD0DC8C">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rPr>
              <w:t>肉眼及特殊光学效应标本</w:t>
            </w:r>
          </w:p>
        </w:tc>
        <w:tc>
          <w:tcPr>
            <w:tcW w:w="3806" w:type="dxa"/>
            <w:shd w:val="clear" w:color="auto" w:fill="auto"/>
            <w:vAlign w:val="center"/>
          </w:tcPr>
          <w:p w14:paraId="5C10F1C4">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66颗，相关清单见附件二</w:t>
            </w:r>
          </w:p>
        </w:tc>
        <w:tc>
          <w:tcPr>
            <w:tcW w:w="754" w:type="dxa"/>
            <w:vAlign w:val="center"/>
          </w:tcPr>
          <w:p w14:paraId="663570EB">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1</w:t>
            </w:r>
          </w:p>
        </w:tc>
        <w:tc>
          <w:tcPr>
            <w:tcW w:w="735" w:type="dxa"/>
            <w:vAlign w:val="center"/>
          </w:tcPr>
          <w:p w14:paraId="06B06CF8">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default" w:eastAsia="新宋体"/>
                <w:color w:val="000000"/>
                <w:szCs w:val="21"/>
                <w:lang w:val="en-US" w:eastAsia="zh-CN"/>
              </w:rPr>
              <w:t>套</w:t>
            </w:r>
          </w:p>
        </w:tc>
        <w:tc>
          <w:tcPr>
            <w:tcW w:w="1320" w:type="dxa"/>
            <w:vAlign w:val="center"/>
          </w:tcPr>
          <w:p w14:paraId="71B9DEF6">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27000</w:t>
            </w:r>
          </w:p>
        </w:tc>
        <w:tc>
          <w:tcPr>
            <w:tcW w:w="1252" w:type="dxa"/>
            <w:vAlign w:val="center"/>
          </w:tcPr>
          <w:p w14:paraId="2406F27F">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27000</w:t>
            </w:r>
          </w:p>
        </w:tc>
      </w:tr>
      <w:tr w14:paraId="668C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22" w:type="dxa"/>
            <w:vAlign w:val="center"/>
          </w:tcPr>
          <w:p w14:paraId="37D76581">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rPr>
              <w:t>4</w:t>
            </w:r>
          </w:p>
        </w:tc>
        <w:tc>
          <w:tcPr>
            <w:tcW w:w="1380" w:type="dxa"/>
            <w:vAlign w:val="center"/>
          </w:tcPr>
          <w:p w14:paraId="6B357EF9">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rPr>
              <w:t>仪器分项标本</w:t>
            </w:r>
          </w:p>
        </w:tc>
        <w:tc>
          <w:tcPr>
            <w:tcW w:w="3806" w:type="dxa"/>
            <w:shd w:val="clear" w:color="auto" w:fill="auto"/>
            <w:vAlign w:val="center"/>
          </w:tcPr>
          <w:p w14:paraId="7C4D6BB5">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345颗，包括：</w:t>
            </w:r>
          </w:p>
          <w:p w14:paraId="4092B762">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折射仪标本75颗</w:t>
            </w:r>
          </w:p>
          <w:p w14:paraId="30440FCA">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分光镜标本50颗</w:t>
            </w:r>
          </w:p>
          <w:p w14:paraId="4F301B43">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多色性标本20颗</w:t>
            </w:r>
          </w:p>
          <w:p w14:paraId="3BA49F47">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偏光标本30颗</w:t>
            </w:r>
          </w:p>
          <w:p w14:paraId="10AD7BAA">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荧光标本30颗</w:t>
            </w:r>
          </w:p>
          <w:p w14:paraId="0262FC64">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滤色镜标本20颗</w:t>
            </w:r>
          </w:p>
          <w:p w14:paraId="2B54429A">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显微镜标本120颗</w:t>
            </w:r>
          </w:p>
          <w:p w14:paraId="719FFFD1">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r>
              <w:rPr>
                <w:rFonts w:hint="eastAsia" w:ascii="宋体" w:hAnsi="宋体" w:eastAsia="宋体" w:cs="宋体"/>
                <w:sz w:val="21"/>
                <w:szCs w:val="21"/>
              </w:rPr>
              <w:t>相关清单见附件三</w:t>
            </w:r>
          </w:p>
        </w:tc>
        <w:tc>
          <w:tcPr>
            <w:tcW w:w="754" w:type="dxa"/>
            <w:vAlign w:val="center"/>
          </w:tcPr>
          <w:p w14:paraId="30491BC7">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1</w:t>
            </w:r>
          </w:p>
        </w:tc>
        <w:tc>
          <w:tcPr>
            <w:tcW w:w="735" w:type="dxa"/>
            <w:vAlign w:val="center"/>
          </w:tcPr>
          <w:p w14:paraId="7D7BC9E4">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default" w:eastAsia="新宋体"/>
                <w:color w:val="000000"/>
                <w:szCs w:val="21"/>
                <w:lang w:val="en-US" w:eastAsia="zh-CN"/>
              </w:rPr>
              <w:t>套</w:t>
            </w:r>
          </w:p>
        </w:tc>
        <w:tc>
          <w:tcPr>
            <w:tcW w:w="1320" w:type="dxa"/>
            <w:vAlign w:val="center"/>
          </w:tcPr>
          <w:p w14:paraId="12D57AFA">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123000</w:t>
            </w:r>
          </w:p>
        </w:tc>
        <w:tc>
          <w:tcPr>
            <w:tcW w:w="1252" w:type="dxa"/>
            <w:vAlign w:val="center"/>
          </w:tcPr>
          <w:p w14:paraId="5520E13D">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123000</w:t>
            </w:r>
          </w:p>
        </w:tc>
      </w:tr>
      <w:tr w14:paraId="40A0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22" w:type="dxa"/>
            <w:vAlign w:val="center"/>
          </w:tcPr>
          <w:p w14:paraId="39E37B13">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rPr>
              <w:t>5</w:t>
            </w:r>
          </w:p>
        </w:tc>
        <w:tc>
          <w:tcPr>
            <w:tcW w:w="1380" w:type="dxa"/>
            <w:vAlign w:val="center"/>
          </w:tcPr>
          <w:p w14:paraId="294A3DC6">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lang w:eastAsia="zh-Hans"/>
              </w:rPr>
              <w:t>宝石综合标本</w:t>
            </w:r>
            <w:r>
              <w:rPr>
                <w:rFonts w:eastAsia="新宋体" w:cs="仿宋"/>
                <w:szCs w:val="21"/>
                <w:lang w:eastAsia="zh-Hans"/>
              </w:rPr>
              <w:t>330</w:t>
            </w:r>
            <w:r>
              <w:rPr>
                <w:rFonts w:hint="eastAsia" w:eastAsia="新宋体" w:cs="仿宋"/>
                <w:szCs w:val="21"/>
                <w:lang w:eastAsia="zh-Hans"/>
              </w:rPr>
              <w:t>颗</w:t>
            </w:r>
          </w:p>
        </w:tc>
        <w:tc>
          <w:tcPr>
            <w:tcW w:w="3806" w:type="dxa"/>
            <w:shd w:val="clear" w:color="auto" w:fill="auto"/>
            <w:vAlign w:val="center"/>
          </w:tcPr>
          <w:p w14:paraId="6B615954">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相关清单见附件四</w:t>
            </w:r>
          </w:p>
        </w:tc>
        <w:tc>
          <w:tcPr>
            <w:tcW w:w="754" w:type="dxa"/>
            <w:vAlign w:val="center"/>
          </w:tcPr>
          <w:p w14:paraId="51FEB96E">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1</w:t>
            </w:r>
          </w:p>
        </w:tc>
        <w:tc>
          <w:tcPr>
            <w:tcW w:w="735" w:type="dxa"/>
            <w:vAlign w:val="center"/>
          </w:tcPr>
          <w:p w14:paraId="50771050">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default" w:eastAsia="新宋体"/>
                <w:color w:val="000000"/>
                <w:szCs w:val="21"/>
                <w:lang w:val="en-US" w:eastAsia="zh-CN"/>
              </w:rPr>
              <w:t>套</w:t>
            </w:r>
          </w:p>
        </w:tc>
        <w:tc>
          <w:tcPr>
            <w:tcW w:w="1320" w:type="dxa"/>
            <w:vAlign w:val="center"/>
          </w:tcPr>
          <w:p w14:paraId="415BA7D5">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110000</w:t>
            </w:r>
          </w:p>
        </w:tc>
        <w:tc>
          <w:tcPr>
            <w:tcW w:w="1252" w:type="dxa"/>
            <w:vAlign w:val="center"/>
          </w:tcPr>
          <w:p w14:paraId="57157D20">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110000</w:t>
            </w:r>
          </w:p>
        </w:tc>
      </w:tr>
      <w:tr w14:paraId="4A69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22" w:type="dxa"/>
            <w:vAlign w:val="center"/>
          </w:tcPr>
          <w:p w14:paraId="7A89FC51">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rPr>
              <w:t>6</w:t>
            </w:r>
          </w:p>
        </w:tc>
        <w:tc>
          <w:tcPr>
            <w:tcW w:w="1380" w:type="dxa"/>
            <w:vAlign w:val="center"/>
          </w:tcPr>
          <w:p w14:paraId="1B1B8FBF">
            <w:pPr>
              <w:adjustRightInd w:val="0"/>
              <w:snapToGrid w:val="0"/>
              <w:jc w:val="center"/>
              <w:rPr>
                <w:rFonts w:hint="eastAsia" w:ascii="Times New Roman" w:hAnsi="Times New Roman" w:eastAsia="仿宋" w:cs="仿宋"/>
                <w:kern w:val="2"/>
                <w:sz w:val="21"/>
                <w:szCs w:val="21"/>
                <w:lang w:val="en-US" w:eastAsia="zh-CN" w:bidi="ar-SA"/>
              </w:rPr>
            </w:pPr>
            <w:r>
              <w:rPr>
                <w:rFonts w:hint="eastAsia" w:eastAsia="新宋体" w:cs="仿宋"/>
                <w:szCs w:val="21"/>
                <w:lang w:eastAsia="zh-Hans"/>
              </w:rPr>
              <w:t>钻石标本</w:t>
            </w:r>
            <w:r>
              <w:rPr>
                <w:rFonts w:eastAsia="新宋体" w:cs="仿宋"/>
                <w:szCs w:val="21"/>
                <w:lang w:eastAsia="zh-Hans"/>
              </w:rPr>
              <w:t>（</w:t>
            </w:r>
            <w:r>
              <w:rPr>
                <w:rFonts w:hint="eastAsia" w:eastAsia="新宋体" w:cs="仿宋"/>
                <w:szCs w:val="21"/>
                <w:lang w:eastAsia="zh-Hans"/>
              </w:rPr>
              <w:t>带</w:t>
            </w:r>
            <w:r>
              <w:rPr>
                <w:rFonts w:eastAsia="新宋体" w:cs="仿宋"/>
                <w:szCs w:val="21"/>
                <w:lang w:eastAsia="zh-Hans"/>
              </w:rPr>
              <w:t>NGTC</w:t>
            </w:r>
            <w:r>
              <w:rPr>
                <w:rFonts w:hint="eastAsia" w:eastAsia="新宋体" w:cs="仿宋"/>
                <w:szCs w:val="21"/>
                <w:lang w:eastAsia="zh-Hans"/>
              </w:rPr>
              <w:t>证书</w:t>
            </w:r>
            <w:r>
              <w:rPr>
                <w:rFonts w:eastAsia="新宋体" w:cs="仿宋"/>
                <w:szCs w:val="21"/>
                <w:lang w:eastAsia="zh-Hans"/>
              </w:rPr>
              <w:t>）</w:t>
            </w:r>
          </w:p>
        </w:tc>
        <w:tc>
          <w:tcPr>
            <w:tcW w:w="3806" w:type="dxa"/>
            <w:shd w:val="clear" w:color="auto" w:fill="auto"/>
            <w:vAlign w:val="center"/>
          </w:tcPr>
          <w:p w14:paraId="20566836">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r>
              <w:rPr>
                <w:rFonts w:hint="eastAsia" w:ascii="宋体" w:hAnsi="宋体" w:eastAsia="宋体" w:cs="宋体"/>
                <w:sz w:val="21"/>
                <w:szCs w:val="21"/>
                <w:lang w:eastAsia="zh-Hans"/>
              </w:rPr>
              <w:t>颗/套，</w:t>
            </w:r>
            <w:r>
              <w:rPr>
                <w:rFonts w:hint="eastAsia" w:ascii="宋体" w:hAnsi="宋体" w:eastAsia="宋体" w:cs="宋体"/>
                <w:sz w:val="21"/>
                <w:szCs w:val="21"/>
              </w:rPr>
              <w:t xml:space="preserve">必须涵盖 4 种净度，涵盖 5 种切工。 </w:t>
            </w:r>
          </w:p>
        </w:tc>
        <w:tc>
          <w:tcPr>
            <w:tcW w:w="754" w:type="dxa"/>
            <w:vAlign w:val="center"/>
          </w:tcPr>
          <w:p w14:paraId="2F4703B1">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4</w:t>
            </w:r>
          </w:p>
        </w:tc>
        <w:tc>
          <w:tcPr>
            <w:tcW w:w="735" w:type="dxa"/>
            <w:vAlign w:val="center"/>
          </w:tcPr>
          <w:p w14:paraId="23F4D24E">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default" w:eastAsia="新宋体"/>
                <w:color w:val="000000"/>
                <w:szCs w:val="21"/>
                <w:lang w:val="en-US" w:eastAsia="zh-CN"/>
              </w:rPr>
              <w:t>套</w:t>
            </w:r>
          </w:p>
        </w:tc>
        <w:tc>
          <w:tcPr>
            <w:tcW w:w="1320" w:type="dxa"/>
            <w:vAlign w:val="center"/>
          </w:tcPr>
          <w:p w14:paraId="5F9455A6">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20000</w:t>
            </w:r>
          </w:p>
        </w:tc>
        <w:tc>
          <w:tcPr>
            <w:tcW w:w="1252" w:type="dxa"/>
            <w:vAlign w:val="center"/>
          </w:tcPr>
          <w:p w14:paraId="19B08458">
            <w:pPr>
              <w:adjustRightInd w:val="0"/>
              <w:snapToGrid w:val="0"/>
              <w:jc w:val="center"/>
              <w:rPr>
                <w:rFonts w:hint="eastAsia" w:ascii="Times New Roman" w:hAnsi="Times New Roman" w:eastAsia="新宋体" w:cs="Times New Roman"/>
                <w:color w:val="000000"/>
                <w:kern w:val="2"/>
                <w:sz w:val="21"/>
                <w:szCs w:val="21"/>
                <w:lang w:val="en-US" w:eastAsia="zh-CN" w:bidi="ar-SA"/>
              </w:rPr>
            </w:pPr>
            <w:r>
              <w:rPr>
                <w:rFonts w:hint="eastAsia" w:eastAsia="新宋体"/>
                <w:color w:val="000000"/>
                <w:szCs w:val="21"/>
                <w:lang w:val="en-US" w:eastAsia="zh-CN"/>
              </w:rPr>
              <w:t>80000</w:t>
            </w:r>
          </w:p>
        </w:tc>
      </w:tr>
    </w:tbl>
    <w:p w14:paraId="39963B82">
      <w:pPr>
        <w:pStyle w:val="13"/>
        <w:spacing w:line="360" w:lineRule="auto"/>
        <w:ind w:firstLine="482"/>
        <w:rPr>
          <w:rFonts w:ascii="宋体" w:hAnsi="宋体"/>
          <w:b/>
          <w:bCs/>
          <w:sz w:val="24"/>
          <w:szCs w:val="24"/>
        </w:rPr>
      </w:pPr>
      <w:bookmarkStart w:id="4" w:name="_Toc7303"/>
      <w:r>
        <w:rPr>
          <w:rFonts w:hint="eastAsia" w:ascii="宋体" w:hAnsi="宋体"/>
          <w:b/>
          <w:bCs/>
          <w:sz w:val="24"/>
          <w:szCs w:val="24"/>
        </w:rPr>
        <w:t>（五）供应商资格条件</w:t>
      </w:r>
      <w:bookmarkEnd w:id="4"/>
    </w:p>
    <w:p w14:paraId="52A8CE76">
      <w:pPr>
        <w:widowControl/>
        <w:spacing w:line="360" w:lineRule="auto"/>
        <w:ind w:firstLine="600"/>
        <w:jc w:val="left"/>
        <w:rPr>
          <w:rFonts w:ascii="宋体" w:hAnsi="宋体" w:cs="仿宋"/>
          <w:sz w:val="24"/>
          <w:szCs w:val="24"/>
        </w:rPr>
      </w:pPr>
      <w:r>
        <w:rPr>
          <w:rFonts w:hint="eastAsia" w:ascii="宋体" w:hAnsi="宋体" w:cs="仿宋"/>
          <w:sz w:val="24"/>
          <w:szCs w:val="24"/>
        </w:rPr>
        <w:t>1.基本要求：</w:t>
      </w:r>
    </w:p>
    <w:p w14:paraId="7D674FE3">
      <w:pPr>
        <w:widowControl/>
        <w:spacing w:line="360" w:lineRule="auto"/>
        <w:ind w:firstLine="600"/>
        <w:jc w:val="left"/>
        <w:rPr>
          <w:rFonts w:ascii="宋体" w:hAnsi="宋体" w:cs="仿宋"/>
          <w:sz w:val="24"/>
          <w:szCs w:val="24"/>
        </w:rPr>
      </w:pPr>
      <w:r>
        <w:rPr>
          <w:rFonts w:hint="eastAsia" w:ascii="宋体" w:hAnsi="宋体" w:cs="仿宋"/>
          <w:sz w:val="24"/>
          <w:szCs w:val="24"/>
        </w:rPr>
        <w:t>满足《中华人民共和国政府采购法》第二十二条规定</w:t>
      </w:r>
    </w:p>
    <w:p w14:paraId="3469213E">
      <w:pPr>
        <w:widowControl/>
        <w:spacing w:line="360" w:lineRule="auto"/>
        <w:ind w:firstLine="600"/>
        <w:jc w:val="left"/>
        <w:rPr>
          <w:rFonts w:ascii="宋体" w:hAnsi="宋体" w:cs="仿宋"/>
          <w:sz w:val="24"/>
          <w:szCs w:val="24"/>
        </w:rPr>
      </w:pPr>
      <w:r>
        <w:rPr>
          <w:rFonts w:hint="eastAsia" w:ascii="宋体" w:hAnsi="宋体" w:cs="仿宋"/>
          <w:sz w:val="24"/>
          <w:szCs w:val="24"/>
        </w:rPr>
        <w:t>2.特定资格要求：</w:t>
      </w:r>
    </w:p>
    <w:p w14:paraId="000F1B8A">
      <w:pPr>
        <w:widowControl/>
        <w:spacing w:line="360" w:lineRule="auto"/>
        <w:ind w:firstLine="600"/>
        <w:jc w:val="left"/>
        <w:rPr>
          <w:rFonts w:ascii="宋体" w:hAnsi="宋体" w:cs="仿宋"/>
          <w:sz w:val="24"/>
          <w:szCs w:val="24"/>
        </w:rPr>
      </w:pPr>
      <w:r>
        <w:rPr>
          <w:rFonts w:hint="eastAsia" w:ascii="宋体" w:hAnsi="宋体" w:cs="仿宋"/>
          <w:sz w:val="24"/>
          <w:szCs w:val="24"/>
        </w:rPr>
        <w:t>3.落实政府采购政策的要求：政府强制采购节能产品、支持创新、绿色发展、鼓励环保产品、扶持福利企业、促进残疾人就业、促进中小企业发展、支持监狱和戒毒企业等。</w:t>
      </w:r>
    </w:p>
    <w:p w14:paraId="2C50902C">
      <w:pPr>
        <w:pStyle w:val="13"/>
        <w:spacing w:line="360" w:lineRule="auto"/>
        <w:ind w:firstLine="482"/>
        <w:rPr>
          <w:rFonts w:ascii="宋体" w:hAnsi="宋体"/>
          <w:b/>
          <w:bCs/>
          <w:sz w:val="24"/>
          <w:szCs w:val="24"/>
        </w:rPr>
      </w:pPr>
      <w:bookmarkStart w:id="5" w:name="_Toc13060"/>
      <w:r>
        <w:rPr>
          <w:rFonts w:hint="eastAsia" w:ascii="宋体" w:hAnsi="宋体"/>
          <w:b/>
          <w:bCs/>
          <w:sz w:val="24"/>
          <w:szCs w:val="24"/>
        </w:rPr>
        <w:t>（六）采购方式</w:t>
      </w:r>
      <w:bookmarkEnd w:id="5"/>
    </w:p>
    <w:p w14:paraId="6EA690D0">
      <w:pPr>
        <w:widowControl/>
        <w:spacing w:line="360" w:lineRule="auto"/>
        <w:ind w:firstLine="600"/>
        <w:jc w:val="left"/>
        <w:rPr>
          <w:rFonts w:ascii="宋体" w:hAnsi="宋体" w:cs="仿宋"/>
          <w:b/>
          <w:sz w:val="24"/>
          <w:szCs w:val="24"/>
        </w:rPr>
      </w:pPr>
      <w:bookmarkStart w:id="6" w:name="_Toc12064"/>
      <w:r>
        <w:rPr>
          <w:rFonts w:hint="eastAsia" w:ascii="宋体" w:hAnsi="宋体" w:cs="仿宋"/>
          <w:b/>
          <w:sz w:val="24"/>
          <w:szCs w:val="24"/>
        </w:rPr>
        <w:t>□公开招标（适用法定情形）</w:t>
      </w:r>
    </w:p>
    <w:p w14:paraId="1CB5F2FB">
      <w:pPr>
        <w:widowControl/>
        <w:spacing w:line="360" w:lineRule="auto"/>
        <w:ind w:firstLine="601"/>
        <w:jc w:val="left"/>
        <w:rPr>
          <w:rFonts w:ascii="宋体" w:hAnsi="宋体" w:cs="仿宋"/>
          <w:sz w:val="24"/>
          <w:szCs w:val="24"/>
        </w:rPr>
      </w:pPr>
      <w:r>
        <w:rPr>
          <w:rFonts w:hint="eastAsia" w:ascii="宋体" w:hAnsi="宋体" w:cs="仿宋"/>
          <w:sz w:val="24"/>
          <w:szCs w:val="24"/>
        </w:rPr>
        <w:t>□达到国家公开招标限额标准的采购项目；</w:t>
      </w:r>
    </w:p>
    <w:p w14:paraId="6271B702">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□采购需求客观、明确且规格、标准统一的采购项目，如通用设备、物业管理等；</w:t>
      </w:r>
    </w:p>
    <w:p w14:paraId="71C215A3">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316F21EF">
      <w:pPr>
        <w:widowControl/>
        <w:spacing w:line="360" w:lineRule="auto"/>
        <w:ind w:firstLine="600"/>
        <w:jc w:val="left"/>
        <w:rPr>
          <w:rFonts w:ascii="宋体" w:hAnsi="宋体" w:cs="仿宋"/>
          <w:sz w:val="24"/>
          <w:szCs w:val="24"/>
        </w:rPr>
      </w:pPr>
      <w:r>
        <w:rPr>
          <w:rFonts w:hint="eastAsia" w:ascii="宋体" w:hAnsi="宋体" w:cs="仿宋"/>
          <w:b/>
          <w:sz w:val="24"/>
          <w:szCs w:val="24"/>
          <w:lang w:eastAsia="zh-CN"/>
        </w:rPr>
        <w:t>☑</w:t>
      </w:r>
      <w:r>
        <w:rPr>
          <w:rFonts w:hint="eastAsia" w:ascii="宋体" w:hAnsi="宋体" w:cs="仿宋"/>
          <w:b/>
          <w:sz w:val="24"/>
          <w:szCs w:val="24"/>
        </w:rPr>
        <w:t>竞争性磋商（符合情形）</w:t>
      </w:r>
    </w:p>
    <w:p w14:paraId="5FCF7A33">
      <w:pPr>
        <w:widowControl/>
        <w:spacing w:line="360" w:lineRule="auto"/>
        <w:ind w:firstLine="600"/>
        <w:jc w:val="left"/>
        <w:rPr>
          <w:rFonts w:ascii="宋体" w:hAnsi="宋体" w:cs="仿宋"/>
          <w:sz w:val="24"/>
          <w:szCs w:val="24"/>
        </w:rPr>
      </w:pPr>
      <w:r>
        <w:rPr>
          <w:rFonts w:hint="eastAsia" w:ascii="宋体" w:hAnsi="宋体" w:cs="仿宋"/>
          <w:sz w:val="24"/>
          <w:szCs w:val="24"/>
        </w:rPr>
        <w:t>□政府购买服务项目；</w:t>
      </w:r>
    </w:p>
    <w:p w14:paraId="66570F2E">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技术复杂或者性质特殊，不能确定详细规格或者具体要求的；</w:t>
      </w:r>
    </w:p>
    <w:p w14:paraId="68DD3038">
      <w:pPr>
        <w:widowControl/>
        <w:spacing w:line="360" w:lineRule="auto"/>
        <w:ind w:firstLine="600"/>
        <w:jc w:val="left"/>
        <w:rPr>
          <w:rFonts w:ascii="宋体" w:hAnsi="宋体" w:cs="仿宋"/>
          <w:sz w:val="24"/>
          <w:szCs w:val="24"/>
        </w:rPr>
      </w:pPr>
      <w:r>
        <w:rPr>
          <w:rFonts w:hint="eastAsia" w:ascii="宋体" w:hAnsi="宋体" w:cs="仿宋"/>
          <w:sz w:val="24"/>
          <w:szCs w:val="24"/>
        </w:rPr>
        <w:t>□因艺术品采购、专利、专有技术或者服务的时间、数量事先不能确定等原因不能事先计算出价格总额的；</w:t>
      </w:r>
    </w:p>
    <w:p w14:paraId="18C1A044">
      <w:pPr>
        <w:widowControl/>
        <w:spacing w:line="360" w:lineRule="auto"/>
        <w:ind w:firstLine="600"/>
        <w:jc w:val="left"/>
        <w:rPr>
          <w:rFonts w:ascii="宋体" w:hAnsi="宋体" w:cs="仿宋"/>
          <w:sz w:val="24"/>
          <w:szCs w:val="24"/>
        </w:rPr>
      </w:pPr>
      <w:r>
        <w:rPr>
          <w:rFonts w:hint="eastAsia" w:ascii="宋体" w:hAnsi="宋体" w:cs="仿宋"/>
          <w:sz w:val="24"/>
          <w:szCs w:val="24"/>
        </w:rPr>
        <w:t>□市场竞争不充分的科研项目，以及需要扶持的科技成果转化项目；</w:t>
      </w:r>
    </w:p>
    <w:p w14:paraId="400E21E5">
      <w:pPr>
        <w:widowControl/>
        <w:spacing w:line="360" w:lineRule="auto"/>
        <w:ind w:firstLine="600"/>
        <w:jc w:val="left"/>
        <w:rPr>
          <w:rFonts w:ascii="宋体" w:hAnsi="宋体" w:cs="仿宋"/>
          <w:sz w:val="24"/>
          <w:szCs w:val="24"/>
        </w:rPr>
      </w:pPr>
      <w:r>
        <w:rPr>
          <w:rFonts w:hint="eastAsia" w:ascii="宋体" w:hAnsi="宋体" w:cs="仿宋"/>
          <w:sz w:val="24"/>
          <w:szCs w:val="24"/>
        </w:rPr>
        <w:t>□按照招标投标法及其实施条例必须进行招标的工程建设项目以外的工程建设项目。</w:t>
      </w:r>
    </w:p>
    <w:p w14:paraId="7BA4DE49">
      <w:pPr>
        <w:widowControl/>
        <w:spacing w:line="360" w:lineRule="auto"/>
        <w:ind w:firstLine="600"/>
        <w:jc w:val="left"/>
        <w:rPr>
          <w:rFonts w:ascii="宋体" w:hAnsi="宋体" w:cs="仿宋"/>
          <w:b/>
          <w:sz w:val="24"/>
          <w:szCs w:val="24"/>
        </w:rPr>
      </w:pPr>
      <w:r>
        <w:rPr>
          <w:rFonts w:hint="eastAsia" w:ascii="宋体" w:hAnsi="宋体" w:cs="仿宋"/>
          <w:b/>
          <w:sz w:val="24"/>
          <w:szCs w:val="24"/>
        </w:rPr>
        <w:t>□竞争性谈判（适用情形）</w:t>
      </w:r>
    </w:p>
    <w:p w14:paraId="3C2F80B0">
      <w:pPr>
        <w:widowControl/>
        <w:spacing w:line="360" w:lineRule="auto"/>
        <w:ind w:firstLine="600"/>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33CEF347">
      <w:pPr>
        <w:widowControl/>
        <w:spacing w:line="360" w:lineRule="auto"/>
        <w:ind w:firstLine="600"/>
        <w:jc w:val="left"/>
        <w:rPr>
          <w:rFonts w:ascii="宋体" w:hAnsi="宋体" w:cs="仿宋"/>
          <w:sz w:val="24"/>
          <w:szCs w:val="24"/>
        </w:rPr>
      </w:pPr>
      <w:r>
        <w:rPr>
          <w:rFonts w:hint="eastAsia" w:ascii="宋体" w:hAnsi="宋体" w:cs="仿宋"/>
          <w:sz w:val="24"/>
          <w:szCs w:val="24"/>
        </w:rPr>
        <w:t>□不能完全确定客观指标，需由供应商提供设计方案、解决方案或者组织方案的采购项目，如首购订购、设计服务、政府和社会资本合作等。</w:t>
      </w:r>
    </w:p>
    <w:p w14:paraId="645F3899">
      <w:pPr>
        <w:pStyle w:val="13"/>
        <w:spacing w:line="360" w:lineRule="auto"/>
        <w:ind w:firstLine="482"/>
        <w:rPr>
          <w:rFonts w:ascii="宋体" w:hAnsi="宋体" w:cs="仿宋"/>
          <w:b/>
          <w:sz w:val="24"/>
          <w:szCs w:val="24"/>
        </w:rPr>
      </w:pPr>
      <w:r>
        <w:rPr>
          <w:rFonts w:hint="eastAsia" w:ascii="宋体" w:hAnsi="宋体"/>
          <w:b/>
          <w:sz w:val="24"/>
          <w:szCs w:val="24"/>
        </w:rPr>
        <w:t>□单一来源</w:t>
      </w:r>
      <w:r>
        <w:rPr>
          <w:rFonts w:hint="eastAsia" w:ascii="宋体" w:hAnsi="宋体" w:cs="仿宋"/>
          <w:b/>
          <w:sz w:val="24"/>
          <w:szCs w:val="24"/>
        </w:rPr>
        <w:t>（适用情形）</w:t>
      </w:r>
    </w:p>
    <w:p w14:paraId="1EC70B35">
      <w:pPr>
        <w:pStyle w:val="7"/>
        <w:spacing w:before="0" w:beforeAutospacing="0" w:after="0" w:afterAutospacing="0" w:line="360" w:lineRule="auto"/>
        <w:ind w:firstLine="480" w:firstLineChars="200"/>
        <w:jc w:val="both"/>
        <w:textAlignment w:val="baseline"/>
      </w:pPr>
      <w:r>
        <w:rPr>
          <w:rFonts w:hint="eastAsia"/>
        </w:rPr>
        <w:t>□只能从唯一供应商处采购的；</w:t>
      </w:r>
    </w:p>
    <w:p w14:paraId="0FBA4F0D">
      <w:pPr>
        <w:pStyle w:val="7"/>
        <w:spacing w:before="0" w:beforeAutospacing="0" w:after="0" w:afterAutospacing="0" w:line="360" w:lineRule="auto"/>
        <w:ind w:firstLine="480" w:firstLineChars="200"/>
        <w:jc w:val="both"/>
        <w:textAlignment w:val="baseline"/>
      </w:pPr>
      <w:r>
        <w:rPr>
          <w:rFonts w:hint="eastAsia"/>
        </w:rPr>
        <w:t>□发生了不可预见的紧急情况不能从其他供应商处采购的；</w:t>
      </w:r>
    </w:p>
    <w:p w14:paraId="3383D5AD">
      <w:pPr>
        <w:pStyle w:val="7"/>
        <w:spacing w:before="0" w:beforeAutospacing="0" w:after="0" w:afterAutospacing="0" w:line="360" w:lineRule="auto"/>
        <w:ind w:firstLine="480" w:firstLineChars="200"/>
        <w:jc w:val="both"/>
        <w:textAlignment w:val="baseline"/>
      </w:pPr>
      <w:r>
        <w:rPr>
          <w:rFonts w:hint="eastAsia"/>
        </w:rPr>
        <w:t>□必须保证原有采购项目一致性或者服务配套的要求，需要继续从原供应商处添购，且添购资金总额不超过原合同采购金额百分之十的。</w:t>
      </w:r>
    </w:p>
    <w:p w14:paraId="3D727491">
      <w:pPr>
        <w:pStyle w:val="13"/>
        <w:spacing w:line="360" w:lineRule="auto"/>
        <w:ind w:firstLine="482"/>
        <w:rPr>
          <w:rFonts w:ascii="宋体" w:hAnsi="宋体"/>
          <w:sz w:val="24"/>
          <w:szCs w:val="24"/>
        </w:rPr>
      </w:pPr>
      <w:bookmarkStart w:id="7" w:name="_Hlk76973202"/>
      <w:r>
        <w:rPr>
          <w:rFonts w:hint="eastAsia" w:ascii="宋体" w:hAnsi="宋体"/>
          <w:b/>
          <w:sz w:val="24"/>
          <w:szCs w:val="24"/>
        </w:rPr>
        <w:t>□</w:t>
      </w:r>
      <w:bookmarkEnd w:id="7"/>
      <w:r>
        <w:rPr>
          <w:rFonts w:hint="eastAsia" w:ascii="宋体" w:hAnsi="宋体"/>
          <w:b/>
          <w:sz w:val="24"/>
          <w:szCs w:val="24"/>
        </w:rPr>
        <w:t>询价（适用情形）：</w:t>
      </w:r>
      <w:r>
        <w:rPr>
          <w:rFonts w:hint="eastAsia" w:ascii="宋体" w:hAnsi="宋体"/>
          <w:sz w:val="24"/>
          <w:szCs w:val="24"/>
        </w:rPr>
        <w:t>采购需求客观、明确且规格、标准统一</w:t>
      </w:r>
      <w:r>
        <w:rPr>
          <w:rFonts w:hint="eastAsia" w:ascii="宋体" w:hAnsi="宋体" w:cs="仿宋"/>
          <w:sz w:val="24"/>
          <w:szCs w:val="24"/>
        </w:rPr>
        <w:t>如通用设备、物业管理等</w:t>
      </w:r>
      <w:r>
        <w:rPr>
          <w:rFonts w:hint="eastAsia" w:ascii="宋体" w:hAnsi="宋体"/>
          <w:sz w:val="24"/>
          <w:szCs w:val="24"/>
        </w:rPr>
        <w:t>。</w:t>
      </w:r>
    </w:p>
    <w:p w14:paraId="541847ED">
      <w:pPr>
        <w:pStyle w:val="13"/>
        <w:spacing w:line="360" w:lineRule="auto"/>
        <w:ind w:firstLine="482"/>
        <w:rPr>
          <w:rFonts w:ascii="宋体" w:hAnsi="宋体"/>
          <w:sz w:val="24"/>
          <w:szCs w:val="24"/>
        </w:rPr>
      </w:pPr>
      <w:r>
        <w:rPr>
          <w:rFonts w:hint="eastAsia" w:ascii="宋体" w:hAnsi="宋体"/>
          <w:b/>
          <w:sz w:val="24"/>
          <w:szCs w:val="24"/>
        </w:rPr>
        <w:t>□核准：</w:t>
      </w:r>
      <w:r>
        <w:rPr>
          <w:rFonts w:hint="eastAsia" w:ascii="宋体" w:hAnsi="宋体"/>
          <w:sz w:val="24"/>
          <w:szCs w:val="24"/>
        </w:rPr>
        <w:t>达到公开招标数额标准，因特殊情况需要采用公开招标以外采购方式，已依法获得批准。</w:t>
      </w:r>
    </w:p>
    <w:p w14:paraId="2E9015E2">
      <w:pPr>
        <w:pStyle w:val="13"/>
        <w:spacing w:line="360" w:lineRule="auto"/>
        <w:ind w:firstLine="361" w:firstLineChars="150"/>
        <w:rPr>
          <w:rFonts w:ascii="宋体" w:hAnsi="宋体"/>
          <w:b/>
          <w:bCs/>
          <w:sz w:val="24"/>
          <w:szCs w:val="24"/>
        </w:rPr>
      </w:pPr>
      <w:r>
        <w:rPr>
          <w:rFonts w:hint="eastAsia" w:ascii="宋体" w:hAnsi="宋体"/>
          <w:b/>
          <w:bCs/>
          <w:sz w:val="24"/>
          <w:szCs w:val="24"/>
        </w:rPr>
        <w:t>（七）竞争范围</w:t>
      </w:r>
      <w:bookmarkEnd w:id="6"/>
    </w:p>
    <w:p w14:paraId="299506CA">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公开邀请</w:t>
      </w:r>
    </w:p>
    <w:p w14:paraId="47002244">
      <w:pPr>
        <w:widowControl/>
        <w:spacing w:line="360" w:lineRule="auto"/>
        <w:ind w:firstLine="600"/>
        <w:jc w:val="left"/>
        <w:rPr>
          <w:rFonts w:ascii="宋体" w:hAnsi="宋体" w:cs="仿宋"/>
          <w:sz w:val="24"/>
          <w:szCs w:val="24"/>
        </w:rPr>
      </w:pPr>
      <w:r>
        <w:rPr>
          <w:rFonts w:hint="eastAsia" w:ascii="宋体" w:hAnsi="宋体" w:cs="仿宋"/>
          <w:sz w:val="24"/>
          <w:szCs w:val="24"/>
        </w:rPr>
        <w:t>□有限邀请（随机</w:t>
      </w:r>
      <w:r>
        <w:rPr>
          <w:rFonts w:ascii="宋体" w:hAnsi="宋体" w:cs="仿宋"/>
          <w:sz w:val="24"/>
          <w:szCs w:val="24"/>
        </w:rPr>
        <w:t>抽取或书面推荐</w:t>
      </w:r>
      <w:r>
        <w:rPr>
          <w:rFonts w:hint="eastAsia" w:ascii="宋体" w:hAnsi="宋体" w:cs="仿宋"/>
          <w:sz w:val="24"/>
          <w:szCs w:val="24"/>
        </w:rPr>
        <w:t>）</w:t>
      </w:r>
    </w:p>
    <w:p w14:paraId="49670788">
      <w:pPr>
        <w:widowControl/>
        <w:spacing w:line="360" w:lineRule="auto"/>
        <w:ind w:firstLine="600"/>
        <w:jc w:val="left"/>
        <w:rPr>
          <w:rFonts w:ascii="宋体" w:hAnsi="宋体" w:cs="仿宋"/>
          <w:sz w:val="24"/>
          <w:szCs w:val="24"/>
        </w:rPr>
      </w:pPr>
      <w:r>
        <w:rPr>
          <w:rFonts w:hint="eastAsia" w:ascii="宋体" w:hAnsi="宋体" w:cs="仿宋"/>
          <w:sz w:val="24"/>
          <w:szCs w:val="24"/>
        </w:rPr>
        <w:t>□唯一供应商采购</w:t>
      </w:r>
    </w:p>
    <w:p w14:paraId="05B617BF">
      <w:pPr>
        <w:pStyle w:val="13"/>
        <w:spacing w:line="360" w:lineRule="auto"/>
        <w:ind w:firstLine="482"/>
        <w:rPr>
          <w:rFonts w:ascii="宋体" w:hAnsi="宋体"/>
          <w:b/>
          <w:bCs/>
          <w:sz w:val="24"/>
          <w:szCs w:val="24"/>
        </w:rPr>
      </w:pPr>
      <w:bookmarkStart w:id="8" w:name="_Toc6783"/>
      <w:r>
        <w:rPr>
          <w:rFonts w:hint="eastAsia" w:ascii="宋体" w:hAnsi="宋体"/>
          <w:b/>
          <w:bCs/>
          <w:sz w:val="24"/>
          <w:szCs w:val="24"/>
        </w:rPr>
        <w:t>（八）评审规则</w:t>
      </w:r>
      <w:bookmarkEnd w:id="8"/>
    </w:p>
    <w:p w14:paraId="219BD270">
      <w:pPr>
        <w:widowControl/>
        <w:spacing w:line="360" w:lineRule="auto"/>
        <w:ind w:firstLine="600"/>
        <w:jc w:val="left"/>
        <w:rPr>
          <w:rFonts w:hint="default" w:ascii="宋体" w:hAnsi="宋体" w:eastAsia="宋体" w:cs="仿宋"/>
          <w:i/>
          <w:sz w:val="24"/>
          <w:szCs w:val="24"/>
          <w:lang w:val="en-US" w:eastAsia="zh-CN"/>
        </w:rPr>
      </w:pPr>
      <w:bookmarkStart w:id="9" w:name="_Toc7678"/>
      <w:r>
        <w:rPr>
          <w:rFonts w:hint="eastAsia" w:ascii="宋体" w:hAnsi="宋体" w:cs="仿宋"/>
          <w:sz w:val="24"/>
          <w:szCs w:val="24"/>
          <w:lang w:eastAsia="zh-CN"/>
        </w:rPr>
        <w:t>☑</w:t>
      </w:r>
      <w:r>
        <w:rPr>
          <w:rFonts w:hint="eastAsia" w:ascii="宋体" w:hAnsi="宋体" w:cs="仿宋"/>
          <w:sz w:val="24"/>
          <w:szCs w:val="24"/>
        </w:rPr>
        <w:t>综合评分法</w:t>
      </w:r>
      <w:r>
        <w:rPr>
          <w:rFonts w:hint="eastAsia" w:ascii="宋体" w:hAnsi="宋体" w:cs="仿宋"/>
          <w:sz w:val="24"/>
          <w:szCs w:val="24"/>
          <w:u w:val="single"/>
          <w:lang w:val="en-US" w:eastAsia="zh-CN"/>
        </w:rPr>
        <w:t xml:space="preserve"> 为避免采购到低档次、售后服务无保障的产品 </w:t>
      </w:r>
    </w:p>
    <w:p w14:paraId="151AB409">
      <w:pPr>
        <w:widowControl/>
        <w:spacing w:line="360" w:lineRule="auto"/>
        <w:ind w:firstLine="600"/>
        <w:jc w:val="left"/>
        <w:rPr>
          <w:rFonts w:hint="eastAsia" w:ascii="宋体" w:hAnsi="宋体" w:cs="仿宋"/>
          <w:i/>
          <w:sz w:val="24"/>
          <w:szCs w:val="24"/>
          <w:u w:val="single"/>
        </w:rPr>
      </w:pPr>
      <w:r>
        <w:rPr>
          <w:rFonts w:hint="eastAsia" w:ascii="宋体" w:hAnsi="宋体" w:cs="仿宋"/>
          <w:sz w:val="24"/>
          <w:szCs w:val="24"/>
        </w:rPr>
        <w:t>□最低评标价法</w:t>
      </w:r>
    </w:p>
    <w:p w14:paraId="5DAE0BE6">
      <w:pPr>
        <w:widowControl/>
        <w:spacing w:line="360" w:lineRule="auto"/>
        <w:ind w:firstLine="600"/>
        <w:jc w:val="left"/>
        <w:rPr>
          <w:rFonts w:hint="eastAsia" w:ascii="宋体" w:hAnsi="宋体" w:cs="仿宋"/>
          <w:color w:val="auto"/>
          <w:sz w:val="24"/>
          <w:szCs w:val="24"/>
        </w:rPr>
      </w:pPr>
      <w:r>
        <w:rPr>
          <w:rFonts w:hint="eastAsia" w:ascii="宋体" w:hAnsi="宋体" w:cs="仿宋"/>
          <w:color w:val="auto"/>
          <w:sz w:val="24"/>
          <w:szCs w:val="24"/>
        </w:rPr>
        <w:t>（</w:t>
      </w:r>
      <w:r>
        <w:rPr>
          <w:rFonts w:hint="eastAsia" w:ascii="宋体" w:hAnsi="宋体" w:cs="仿宋"/>
          <w:color w:val="auto"/>
          <w:sz w:val="24"/>
          <w:szCs w:val="24"/>
          <w:lang w:val="en-US" w:eastAsia="zh-CN"/>
        </w:rPr>
        <w:t>附件1 评审规则</w:t>
      </w:r>
      <w:r>
        <w:rPr>
          <w:rFonts w:hint="eastAsia" w:ascii="宋体" w:hAnsi="宋体" w:cs="仿宋"/>
          <w:color w:val="auto"/>
          <w:sz w:val="24"/>
          <w:szCs w:val="24"/>
        </w:rPr>
        <w:t>）</w:t>
      </w:r>
    </w:p>
    <w:p w14:paraId="15144523">
      <w:pPr>
        <w:pStyle w:val="4"/>
        <w:spacing w:line="360" w:lineRule="auto"/>
        <w:ind w:firstLine="472" w:firstLineChars="196"/>
        <w:rPr>
          <w:rFonts w:ascii="黑体" w:hAnsi="黑体" w:eastAsia="黑体"/>
          <w:sz w:val="24"/>
          <w:szCs w:val="24"/>
        </w:rPr>
      </w:pPr>
      <w:r>
        <w:rPr>
          <w:rFonts w:hint="eastAsia" w:ascii="黑体" w:hAnsi="黑体" w:eastAsia="黑体"/>
          <w:sz w:val="24"/>
          <w:szCs w:val="24"/>
        </w:rPr>
        <w:t>二、合同管理安排</w:t>
      </w:r>
      <w:bookmarkEnd w:id="9"/>
    </w:p>
    <w:p w14:paraId="46C0C2B0">
      <w:pPr>
        <w:pStyle w:val="13"/>
        <w:spacing w:line="360" w:lineRule="auto"/>
        <w:ind w:firstLine="482"/>
        <w:rPr>
          <w:rFonts w:ascii="宋体" w:hAnsi="宋体"/>
          <w:b/>
          <w:bCs/>
          <w:sz w:val="24"/>
          <w:szCs w:val="24"/>
        </w:rPr>
      </w:pPr>
      <w:bookmarkStart w:id="10" w:name="_Toc21661"/>
      <w:r>
        <w:rPr>
          <w:rFonts w:hint="eastAsia" w:ascii="宋体" w:hAnsi="宋体"/>
          <w:b/>
          <w:bCs/>
          <w:sz w:val="24"/>
          <w:szCs w:val="24"/>
        </w:rPr>
        <w:t>（一）合同类型</w:t>
      </w:r>
      <w:bookmarkEnd w:id="10"/>
    </w:p>
    <w:p w14:paraId="474425F7">
      <w:pPr>
        <w:widowControl/>
        <w:spacing w:line="360" w:lineRule="auto"/>
        <w:ind w:firstLine="600"/>
        <w:jc w:val="left"/>
        <w:rPr>
          <w:rFonts w:ascii="宋体" w:hAnsi="宋体" w:cs="仿宋"/>
          <w:sz w:val="24"/>
          <w:szCs w:val="24"/>
        </w:rPr>
      </w:pPr>
      <w:r>
        <w:rPr>
          <w:rFonts w:hint="eastAsia" w:ascii="宋体" w:hAnsi="宋体" w:cs="仿宋"/>
          <w:sz w:val="24"/>
          <w:szCs w:val="24"/>
        </w:rPr>
        <w:t>按照民法典第九章规定的典型合同。</w:t>
      </w:r>
    </w:p>
    <w:p w14:paraId="56E22ED1">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ascii="宋体" w:hAnsi="宋体" w:cs="仿宋"/>
          <w:sz w:val="24"/>
          <w:szCs w:val="24"/>
        </w:rPr>
        <w:t>买卖合同</w:t>
      </w:r>
    </w:p>
    <w:p w14:paraId="7DF41EEB">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供用电、水、气、热力合同</w:t>
      </w:r>
    </w:p>
    <w:p w14:paraId="17EE9520">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租赁合同</w:t>
      </w:r>
    </w:p>
    <w:p w14:paraId="57493E46">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662E4417">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技术合同</w:t>
      </w:r>
    </w:p>
    <w:p w14:paraId="6AD13501">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委托合同</w:t>
      </w:r>
    </w:p>
    <w:p w14:paraId="12967011">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物业服务合同</w:t>
      </w:r>
    </w:p>
    <w:p w14:paraId="19D487ED">
      <w:pPr>
        <w:pStyle w:val="13"/>
        <w:spacing w:line="360" w:lineRule="auto"/>
        <w:ind w:firstLine="482"/>
        <w:rPr>
          <w:rFonts w:ascii="宋体" w:hAnsi="宋体"/>
          <w:b/>
          <w:bCs/>
          <w:sz w:val="24"/>
          <w:szCs w:val="24"/>
        </w:rPr>
      </w:pPr>
      <w:bookmarkStart w:id="11" w:name="_Toc30617"/>
      <w:r>
        <w:rPr>
          <w:rFonts w:hint="eastAsia" w:ascii="宋体" w:hAnsi="宋体"/>
          <w:b/>
          <w:bCs/>
          <w:sz w:val="24"/>
          <w:szCs w:val="24"/>
        </w:rPr>
        <w:t>（二）定价方式</w:t>
      </w:r>
      <w:bookmarkEnd w:id="11"/>
    </w:p>
    <w:p w14:paraId="1D7517BF">
      <w:pPr>
        <w:widowControl/>
        <w:spacing w:line="360" w:lineRule="auto"/>
        <w:ind w:firstLine="600"/>
        <w:jc w:val="left"/>
        <w:rPr>
          <w:rFonts w:ascii="宋体" w:hAnsi="宋体" w:cs="仿宋"/>
          <w:sz w:val="24"/>
          <w:szCs w:val="24"/>
        </w:rPr>
      </w:pPr>
      <w:r>
        <w:rPr>
          <w:rFonts w:hint="eastAsia" w:ascii="宋体" w:hAnsi="宋体" w:cs="仿宋"/>
          <w:sz w:val="24"/>
          <w:szCs w:val="24"/>
        </w:rPr>
        <w:t>□固定总价</w:t>
      </w:r>
    </w:p>
    <w:p w14:paraId="1A971FFF">
      <w:pPr>
        <w:widowControl/>
        <w:spacing w:line="360" w:lineRule="auto"/>
        <w:ind w:firstLine="600"/>
        <w:jc w:val="left"/>
        <w:rPr>
          <w:rFonts w:ascii="宋体" w:hAnsi="宋体" w:cs="仿宋"/>
          <w:sz w:val="24"/>
          <w:szCs w:val="24"/>
        </w:rPr>
      </w:pPr>
      <w:r>
        <w:rPr>
          <w:rFonts w:hint="eastAsia" w:ascii="宋体" w:hAnsi="宋体" w:cs="仿宋"/>
          <w:sz w:val="24"/>
          <w:szCs w:val="24"/>
        </w:rPr>
        <w:t>□固定单价</w:t>
      </w:r>
    </w:p>
    <w:p w14:paraId="7FC60900">
      <w:pPr>
        <w:widowControl/>
        <w:spacing w:line="360" w:lineRule="auto"/>
        <w:ind w:firstLine="600"/>
        <w:jc w:val="left"/>
        <w:rPr>
          <w:rFonts w:ascii="宋体" w:hAnsi="宋体" w:cs="仿宋"/>
          <w:sz w:val="24"/>
          <w:szCs w:val="24"/>
        </w:rPr>
      </w:pPr>
      <w:r>
        <w:rPr>
          <w:rFonts w:hint="eastAsia" w:ascii="宋体" w:hAnsi="宋体" w:cs="仿宋"/>
          <w:sz w:val="24"/>
          <w:szCs w:val="24"/>
        </w:rPr>
        <w:t>□成本补偿</w:t>
      </w:r>
    </w:p>
    <w:p w14:paraId="25C0CFE9">
      <w:pPr>
        <w:widowControl/>
        <w:spacing w:line="360" w:lineRule="auto"/>
        <w:ind w:firstLine="600"/>
        <w:jc w:val="left"/>
        <w:rPr>
          <w:rFonts w:ascii="宋体" w:hAnsi="宋体" w:cs="仿宋"/>
          <w:sz w:val="24"/>
          <w:szCs w:val="24"/>
        </w:rPr>
      </w:pPr>
      <w:r>
        <w:rPr>
          <w:rFonts w:hint="eastAsia" w:ascii="宋体" w:hAnsi="宋体" w:cs="仿宋"/>
          <w:sz w:val="24"/>
          <w:szCs w:val="24"/>
        </w:rPr>
        <w:t>□绩效激励</w:t>
      </w:r>
    </w:p>
    <w:p w14:paraId="3516FE84">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多种方式组合定价</w:t>
      </w:r>
    </w:p>
    <w:p w14:paraId="05DEEA14">
      <w:pPr>
        <w:pStyle w:val="13"/>
        <w:spacing w:line="360" w:lineRule="auto"/>
        <w:ind w:firstLine="482"/>
        <w:rPr>
          <w:rFonts w:ascii="宋体" w:hAnsi="宋体"/>
          <w:b/>
          <w:bCs/>
          <w:sz w:val="24"/>
          <w:szCs w:val="24"/>
        </w:rPr>
      </w:pPr>
      <w:bookmarkStart w:id="12" w:name="_Toc23433"/>
      <w:r>
        <w:rPr>
          <w:rFonts w:hint="eastAsia" w:ascii="宋体" w:hAnsi="宋体"/>
          <w:b/>
          <w:bCs/>
          <w:sz w:val="24"/>
          <w:szCs w:val="24"/>
        </w:rPr>
        <w:t>（三）合同</w:t>
      </w:r>
      <w:bookmarkEnd w:id="12"/>
      <w:r>
        <w:rPr>
          <w:rFonts w:hint="eastAsia" w:ascii="宋体" w:hAnsi="宋体"/>
          <w:b/>
          <w:bCs/>
          <w:sz w:val="24"/>
          <w:szCs w:val="24"/>
        </w:rPr>
        <w:t>范本</w:t>
      </w:r>
    </w:p>
    <w:p w14:paraId="371644DA">
      <w:pPr>
        <w:widowControl/>
        <w:spacing w:line="360" w:lineRule="auto"/>
        <w:ind w:firstLine="600"/>
        <w:jc w:val="left"/>
        <w:rPr>
          <w:rFonts w:ascii="宋体" w:hAnsi="宋体" w:cs="仿宋"/>
          <w:sz w:val="24"/>
          <w:szCs w:val="24"/>
        </w:rPr>
      </w:pPr>
      <w:r>
        <w:rPr>
          <w:rFonts w:hint="eastAsia" w:ascii="宋体" w:hAnsi="宋体" w:cs="仿宋"/>
          <w:sz w:val="24"/>
          <w:szCs w:val="24"/>
        </w:rPr>
        <w:t>□设备(软件)购销合同（内贸）</w:t>
      </w:r>
    </w:p>
    <w:p w14:paraId="33952C99">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家具(实验台)制作安装购销合同</w:t>
      </w:r>
    </w:p>
    <w:p w14:paraId="73D1C444">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校医院药品和试剂耗材采购合同</w:t>
      </w:r>
    </w:p>
    <w:p w14:paraId="680EF1E2">
      <w:pPr>
        <w:widowControl/>
        <w:spacing w:line="360" w:lineRule="auto"/>
        <w:ind w:firstLine="600"/>
        <w:jc w:val="left"/>
        <w:rPr>
          <w:rFonts w:ascii="宋体" w:hAnsi="宋体" w:cs="仿宋"/>
          <w:sz w:val="24"/>
          <w:szCs w:val="24"/>
        </w:rPr>
      </w:pPr>
      <w:r>
        <w:rPr>
          <w:rFonts w:hint="eastAsia" w:ascii="宋体" w:hAnsi="宋体" w:cs="仿宋"/>
          <w:sz w:val="24"/>
          <w:szCs w:val="24"/>
        </w:rPr>
        <w:t>□进口设备购置</w:t>
      </w:r>
      <w:r>
        <w:rPr>
          <w:rFonts w:ascii="宋体" w:hAnsi="宋体" w:cs="仿宋"/>
          <w:sz w:val="24"/>
          <w:szCs w:val="24"/>
        </w:rPr>
        <w:t>合同</w:t>
      </w:r>
    </w:p>
    <w:p w14:paraId="15B84C28">
      <w:pPr>
        <w:widowControl/>
        <w:spacing w:line="360" w:lineRule="auto"/>
        <w:ind w:firstLine="600"/>
        <w:jc w:val="left"/>
        <w:rPr>
          <w:rFonts w:ascii="宋体" w:hAnsi="宋体" w:cs="仿宋"/>
          <w:sz w:val="24"/>
          <w:szCs w:val="24"/>
        </w:rPr>
      </w:pPr>
      <w:r>
        <w:rPr>
          <w:rFonts w:hint="eastAsia" w:ascii="宋体" w:hAnsi="宋体" w:cs="仿宋"/>
          <w:sz w:val="24"/>
          <w:szCs w:val="24"/>
        </w:rPr>
        <w:t>□服务</w:t>
      </w:r>
      <w:r>
        <w:rPr>
          <w:rFonts w:ascii="宋体" w:hAnsi="宋体" w:cs="仿宋"/>
          <w:sz w:val="24"/>
          <w:szCs w:val="24"/>
        </w:rPr>
        <w:t>合同</w:t>
      </w:r>
    </w:p>
    <w:p w14:paraId="7A136A6A">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4A6B8154">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设备采购及</w:t>
      </w:r>
      <w:r>
        <w:rPr>
          <w:rFonts w:ascii="宋体" w:hAnsi="宋体" w:cs="仿宋"/>
          <w:sz w:val="24"/>
          <w:szCs w:val="24"/>
        </w:rPr>
        <w:t>安装合同</w:t>
      </w:r>
    </w:p>
    <w:p w14:paraId="618D8D36">
      <w:pPr>
        <w:widowControl/>
        <w:spacing w:line="360" w:lineRule="auto"/>
        <w:ind w:firstLine="600"/>
        <w:jc w:val="left"/>
        <w:rPr>
          <w:rFonts w:ascii="宋体" w:hAnsi="宋体" w:cs="仿宋"/>
          <w:sz w:val="24"/>
          <w:szCs w:val="24"/>
        </w:rPr>
      </w:pPr>
      <w:r>
        <w:rPr>
          <w:rFonts w:hint="eastAsia" w:ascii="宋体" w:hAnsi="宋体" w:cs="仿宋"/>
          <w:sz w:val="24"/>
          <w:szCs w:val="24"/>
        </w:rPr>
        <w:t>□维修改造合同</w:t>
      </w:r>
    </w:p>
    <w:p w14:paraId="1BD3000E">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信息化建设银校合作项目合同</w:t>
      </w:r>
    </w:p>
    <w:p w14:paraId="74DC782C">
      <w:pPr>
        <w:pStyle w:val="13"/>
        <w:spacing w:line="360" w:lineRule="auto"/>
        <w:ind w:firstLine="482"/>
        <w:rPr>
          <w:rFonts w:ascii="宋体" w:hAnsi="宋体"/>
          <w:b/>
          <w:bCs/>
          <w:sz w:val="24"/>
          <w:szCs w:val="24"/>
        </w:rPr>
      </w:pPr>
      <w:bookmarkStart w:id="13" w:name="_Toc5882"/>
      <w:r>
        <w:rPr>
          <w:rFonts w:hint="eastAsia" w:ascii="宋体" w:hAnsi="宋体"/>
          <w:b/>
          <w:bCs/>
          <w:sz w:val="24"/>
          <w:szCs w:val="24"/>
        </w:rPr>
        <w:t>（五）风险管控措施</w:t>
      </w:r>
      <w:bookmarkEnd w:id="13"/>
    </w:p>
    <w:p w14:paraId="3682AA00">
      <w:pPr>
        <w:widowControl/>
        <w:spacing w:line="360" w:lineRule="auto"/>
        <w:ind w:firstLine="600"/>
        <w:jc w:val="left"/>
        <w:rPr>
          <w:rFonts w:ascii="宋体" w:hAnsi="宋体" w:cs="仿宋"/>
          <w:sz w:val="24"/>
          <w:szCs w:val="24"/>
        </w:rPr>
      </w:pPr>
      <w:r>
        <w:rPr>
          <w:rFonts w:hint="eastAsia" w:ascii="宋体" w:hAnsi="宋体" w:cs="仿宋"/>
          <w:sz w:val="24"/>
          <w:szCs w:val="24"/>
        </w:rPr>
        <w:t>1.主要风险因素的识别</w:t>
      </w:r>
    </w:p>
    <w:p w14:paraId="0989B23F">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w:t>
      </w:r>
    </w:p>
    <w:p w14:paraId="454C625E">
      <w:pPr>
        <w:widowControl/>
        <w:spacing w:line="360" w:lineRule="auto"/>
        <w:ind w:firstLine="600"/>
        <w:jc w:val="left"/>
        <w:rPr>
          <w:rFonts w:ascii="宋体" w:hAnsi="宋体" w:cs="仿宋"/>
          <w:sz w:val="24"/>
          <w:szCs w:val="24"/>
        </w:rPr>
      </w:pPr>
      <w:bookmarkStart w:id="14" w:name="_Hlk76974208"/>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bookmarkEnd w:id="14"/>
    </w:p>
    <w:p w14:paraId="791DE92F">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w:t>
      </w:r>
    </w:p>
    <w:p w14:paraId="63A5F624">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24CBD370">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w:t>
      </w:r>
    </w:p>
    <w:p w14:paraId="2B702810">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3CB3B264">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w:t>
      </w:r>
    </w:p>
    <w:p w14:paraId="083F0BE8">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33D338EE">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w:t>
      </w:r>
    </w:p>
    <w:p w14:paraId="766498C2">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67C0C4BA">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w:t>
      </w:r>
    </w:p>
    <w:p w14:paraId="670B5228">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2C92ADB4">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（7）损害国家利益和社会公共利益的风险等</w:t>
      </w:r>
    </w:p>
    <w:p w14:paraId="6C440BB5">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0C11D2EE">
      <w:pPr>
        <w:widowControl/>
        <w:spacing w:line="360" w:lineRule="auto"/>
        <w:ind w:firstLine="600"/>
        <w:jc w:val="left"/>
        <w:rPr>
          <w:rFonts w:ascii="宋体" w:hAnsi="宋体" w:cs="仿宋"/>
          <w:sz w:val="24"/>
          <w:szCs w:val="24"/>
        </w:rPr>
      </w:pPr>
      <w:r>
        <w:rPr>
          <w:rFonts w:hint="eastAsia" w:ascii="宋体" w:hAnsi="宋体" w:cs="仿宋"/>
          <w:sz w:val="24"/>
          <w:szCs w:val="24"/>
        </w:rPr>
        <w:t>2.存在风险事项的处置措施（根据风险情况选择）</w:t>
      </w:r>
    </w:p>
    <w:p w14:paraId="2ECFA29D">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（1）国家政策变化风险处置措施</w:t>
      </w:r>
    </w:p>
    <w:p w14:paraId="24FB74BF">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（2）实施环境变化风险处置措施</w:t>
      </w:r>
    </w:p>
    <w:p w14:paraId="21D01184">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（3）重大技术变化风险处置措施</w:t>
      </w:r>
    </w:p>
    <w:p w14:paraId="4E467CB1">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（4）预算项目调整风险处置措施</w:t>
      </w:r>
    </w:p>
    <w:p w14:paraId="6B7028E4">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（5）质疑投诉影响采购进度风险处置措施</w:t>
      </w:r>
    </w:p>
    <w:p w14:paraId="27D6FCB6">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（6）采购失败风险、不按规定签订或者履行合同风险处置措施</w:t>
      </w:r>
    </w:p>
    <w:p w14:paraId="58BC0C02">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（7）损害国家利益和社会公共利益的风险处置措施</w:t>
      </w:r>
    </w:p>
    <w:p w14:paraId="5A099BF7">
      <w:pPr>
        <w:pStyle w:val="8"/>
        <w:rPr>
          <w:rFonts w:hint="eastAsia" w:ascii="黑体" w:hAnsi="黑体" w:eastAsia="黑体" w:cs="黑体"/>
          <w:sz w:val="21"/>
          <w:szCs w:val="21"/>
          <w:lang w:val="en-US" w:eastAsia="zh-CN"/>
        </w:rPr>
      </w:pPr>
    </w:p>
    <w:p w14:paraId="010F70CA">
      <w:pPr>
        <w:pStyle w:val="8"/>
        <w:rPr>
          <w:rFonts w:hint="eastAsia" w:ascii="黑体" w:hAnsi="黑体" w:eastAsia="黑体" w:cs="黑体"/>
          <w:sz w:val="21"/>
          <w:szCs w:val="21"/>
          <w:lang w:val="en-US" w:eastAsia="zh-CN"/>
        </w:rPr>
      </w:pPr>
    </w:p>
    <w:p w14:paraId="743F1ADD">
      <w:pPr>
        <w:pStyle w:val="8"/>
        <w:rPr>
          <w:rFonts w:hint="eastAsia" w:ascii="黑体" w:hAnsi="黑体" w:eastAsia="黑体" w:cs="黑体"/>
          <w:sz w:val="21"/>
          <w:szCs w:val="21"/>
          <w:lang w:val="en-US" w:eastAsia="zh-CN"/>
        </w:rPr>
      </w:pPr>
    </w:p>
    <w:p w14:paraId="5E87CD59">
      <w:pPr>
        <w:pStyle w:val="8"/>
        <w:rPr>
          <w:rFonts w:hint="eastAsia" w:ascii="黑体" w:hAnsi="黑体" w:eastAsia="黑体" w:cs="黑体"/>
          <w:sz w:val="21"/>
          <w:szCs w:val="21"/>
          <w:lang w:val="en-US" w:eastAsia="zh-CN"/>
        </w:rPr>
      </w:pPr>
    </w:p>
    <w:p w14:paraId="797F5CB7">
      <w:pPr>
        <w:pStyle w:val="8"/>
        <w:rPr>
          <w:rFonts w:hint="eastAsia" w:ascii="黑体" w:hAnsi="黑体" w:eastAsia="黑体" w:cs="黑体"/>
          <w:sz w:val="21"/>
          <w:szCs w:val="21"/>
          <w:lang w:val="en-US" w:eastAsia="zh-CN"/>
        </w:rPr>
      </w:pPr>
    </w:p>
    <w:p w14:paraId="59E0FB0A">
      <w:pPr>
        <w:pStyle w:val="8"/>
        <w:rPr>
          <w:rFonts w:hint="eastAsia" w:ascii="黑体" w:hAnsi="黑体" w:eastAsia="黑体" w:cs="黑体"/>
          <w:sz w:val="21"/>
          <w:szCs w:val="21"/>
          <w:lang w:val="en-US" w:eastAsia="zh-CN"/>
        </w:rPr>
      </w:pPr>
    </w:p>
    <w:p w14:paraId="585841E7">
      <w:pPr>
        <w:pStyle w:val="8"/>
        <w:rPr>
          <w:rFonts w:hint="eastAsia" w:ascii="黑体" w:hAnsi="黑体" w:eastAsia="黑体" w:cs="黑体"/>
          <w:sz w:val="21"/>
          <w:szCs w:val="21"/>
          <w:lang w:val="en-US" w:eastAsia="zh-CN"/>
        </w:rPr>
      </w:pPr>
    </w:p>
    <w:p w14:paraId="0A4F0F86">
      <w:pPr>
        <w:pStyle w:val="8"/>
        <w:rPr>
          <w:rFonts w:hint="eastAsia" w:ascii="黑体" w:hAnsi="黑体" w:eastAsia="黑体" w:cs="黑体"/>
          <w:sz w:val="21"/>
          <w:szCs w:val="21"/>
          <w:lang w:val="en-US" w:eastAsia="zh-CN"/>
        </w:rPr>
      </w:pPr>
    </w:p>
    <w:p w14:paraId="11DEF68A">
      <w:pPr>
        <w:pStyle w:val="8"/>
        <w:rPr>
          <w:rFonts w:hint="eastAsia" w:ascii="黑体" w:hAnsi="黑体" w:eastAsia="黑体" w:cs="黑体"/>
          <w:sz w:val="21"/>
          <w:szCs w:val="21"/>
          <w:lang w:val="en-US" w:eastAsia="zh-CN"/>
        </w:rPr>
      </w:pPr>
    </w:p>
    <w:p w14:paraId="5B45FE84">
      <w:pPr>
        <w:pStyle w:val="8"/>
        <w:rPr>
          <w:rFonts w:hint="eastAsia" w:ascii="黑体" w:hAnsi="黑体" w:eastAsia="黑体" w:cs="黑体"/>
          <w:sz w:val="21"/>
          <w:szCs w:val="21"/>
          <w:lang w:val="en-US" w:eastAsia="zh-CN"/>
        </w:rPr>
      </w:pPr>
    </w:p>
    <w:p w14:paraId="7998FBD0">
      <w:pPr>
        <w:pStyle w:val="8"/>
        <w:rPr>
          <w:rFonts w:hint="eastAsia" w:ascii="黑体" w:hAnsi="黑体" w:eastAsia="黑体" w:cs="黑体"/>
          <w:sz w:val="21"/>
          <w:szCs w:val="21"/>
          <w:lang w:val="en-US" w:eastAsia="zh-CN"/>
        </w:rPr>
      </w:pPr>
    </w:p>
    <w:p w14:paraId="0E616D3A">
      <w:pPr>
        <w:pStyle w:val="8"/>
        <w:rPr>
          <w:rFonts w:hint="eastAsia" w:ascii="黑体" w:hAnsi="黑体" w:eastAsia="黑体" w:cs="黑体"/>
          <w:sz w:val="21"/>
          <w:szCs w:val="21"/>
          <w:lang w:val="en-US" w:eastAsia="zh-CN"/>
        </w:rPr>
      </w:pPr>
    </w:p>
    <w:p w14:paraId="20CE669A">
      <w:pPr>
        <w:pStyle w:val="8"/>
        <w:rPr>
          <w:rFonts w:hint="eastAsia" w:ascii="黑体" w:hAnsi="黑体" w:eastAsia="黑体" w:cs="黑体"/>
          <w:sz w:val="21"/>
          <w:szCs w:val="21"/>
          <w:lang w:val="en-US" w:eastAsia="zh-CN"/>
        </w:rPr>
      </w:pPr>
    </w:p>
    <w:p w14:paraId="0CBD5A55">
      <w:pPr>
        <w:pStyle w:val="8"/>
        <w:rPr>
          <w:rFonts w:hint="eastAsia" w:ascii="黑体" w:hAnsi="黑体" w:eastAsia="黑体" w:cs="黑体"/>
          <w:sz w:val="21"/>
          <w:szCs w:val="21"/>
          <w:lang w:val="en-US" w:eastAsia="zh-CN"/>
        </w:rPr>
      </w:pPr>
    </w:p>
    <w:p w14:paraId="22906A99">
      <w:pPr>
        <w:pStyle w:val="8"/>
        <w:rPr>
          <w:rFonts w:hint="eastAsia" w:ascii="黑体" w:hAnsi="黑体" w:eastAsia="黑体" w:cs="黑体"/>
          <w:sz w:val="21"/>
          <w:szCs w:val="21"/>
          <w:lang w:val="en-US" w:eastAsia="zh-CN"/>
        </w:rPr>
      </w:pPr>
    </w:p>
    <w:p w14:paraId="1B985C1D">
      <w:pPr>
        <w:pStyle w:val="8"/>
        <w:rPr>
          <w:rFonts w:hint="eastAsia" w:ascii="黑体" w:hAnsi="黑体" w:eastAsia="黑体" w:cs="黑体"/>
          <w:sz w:val="21"/>
          <w:szCs w:val="21"/>
          <w:lang w:val="en-US" w:eastAsia="zh-CN"/>
        </w:rPr>
      </w:pPr>
    </w:p>
    <w:p w14:paraId="2B4ABCAE">
      <w:pPr>
        <w:pStyle w:val="8"/>
        <w:rPr>
          <w:rFonts w:hint="eastAsia" w:ascii="黑体" w:hAnsi="黑体" w:eastAsia="黑体" w:cs="黑体"/>
          <w:sz w:val="21"/>
          <w:szCs w:val="21"/>
          <w:lang w:val="en-US" w:eastAsia="zh-CN"/>
        </w:rPr>
      </w:pPr>
    </w:p>
    <w:p w14:paraId="14D96404">
      <w:pPr>
        <w:pStyle w:val="8"/>
        <w:rPr>
          <w:rFonts w:hint="eastAsia" w:ascii="黑体" w:hAnsi="黑体" w:eastAsia="黑体" w:cs="黑体"/>
          <w:sz w:val="21"/>
          <w:szCs w:val="21"/>
          <w:lang w:val="en-US" w:eastAsia="zh-CN"/>
        </w:rPr>
      </w:pPr>
    </w:p>
    <w:p w14:paraId="616122E8">
      <w:pPr>
        <w:pStyle w:val="8"/>
        <w:rPr>
          <w:rFonts w:hint="eastAsia" w:ascii="黑体" w:hAnsi="黑体" w:eastAsia="黑体" w:cs="黑体"/>
          <w:sz w:val="21"/>
          <w:szCs w:val="21"/>
          <w:lang w:val="en-US" w:eastAsia="zh-CN"/>
        </w:rPr>
      </w:pPr>
    </w:p>
    <w:p w14:paraId="1E71D378">
      <w:pPr>
        <w:pStyle w:val="8"/>
        <w:rPr>
          <w:rFonts w:hint="eastAsia" w:ascii="黑体" w:hAnsi="黑体" w:eastAsia="黑体" w:cs="黑体"/>
          <w:sz w:val="21"/>
          <w:szCs w:val="21"/>
          <w:lang w:val="en-US" w:eastAsia="zh-CN"/>
        </w:rPr>
      </w:pPr>
    </w:p>
    <w:p w14:paraId="3E73976B">
      <w:pPr>
        <w:pStyle w:val="8"/>
        <w:rPr>
          <w:rFonts w:hint="eastAsia" w:ascii="黑体" w:hAnsi="黑体" w:eastAsia="黑体" w:cs="黑体"/>
          <w:sz w:val="21"/>
          <w:szCs w:val="21"/>
          <w:lang w:val="en-US" w:eastAsia="zh-CN"/>
        </w:rPr>
      </w:pPr>
    </w:p>
    <w:p w14:paraId="6163E145">
      <w:pPr>
        <w:pStyle w:val="8"/>
        <w:rPr>
          <w:rFonts w:hint="eastAsia" w:ascii="黑体" w:hAnsi="黑体" w:eastAsia="黑体" w:cs="黑体"/>
          <w:sz w:val="21"/>
          <w:szCs w:val="21"/>
          <w:lang w:val="en-US" w:eastAsia="zh-CN"/>
        </w:rPr>
      </w:pPr>
    </w:p>
    <w:p w14:paraId="7568F591">
      <w:pPr>
        <w:pStyle w:val="3"/>
        <w:numPr>
          <w:ilvl w:val="0"/>
          <w:numId w:val="0"/>
        </w:numPr>
        <w:spacing w:before="0" w:after="0" w:line="360" w:lineRule="auto"/>
        <w:ind w:leftChars="0"/>
        <w:rPr>
          <w:rFonts w:hint="eastAsia" w:ascii="宋体" w:hAnsi="宋体" w:eastAsia="宋体" w:cs="Arial"/>
          <w:color w:val="000000"/>
          <w:sz w:val="32"/>
          <w:lang w:val="en-US" w:eastAsia="zh-CN"/>
        </w:rPr>
      </w:pPr>
      <w:r>
        <w:rPr>
          <w:rFonts w:hint="eastAsia" w:ascii="宋体" w:hAnsi="宋体" w:eastAsia="宋体" w:cs="Arial"/>
          <w:color w:val="000000"/>
          <w:sz w:val="32"/>
          <w:lang w:val="en-US" w:eastAsia="zh-CN"/>
        </w:rPr>
        <w:t>附件1                   评审规则</w:t>
      </w:r>
    </w:p>
    <w:p w14:paraId="41CC81AC">
      <w:pPr>
        <w:pStyle w:val="8"/>
        <w:rPr>
          <w:rFonts w:hint="default"/>
          <w:lang w:val="en-US" w:eastAsia="zh-CN"/>
        </w:rPr>
      </w:pPr>
    </w:p>
    <w:p w14:paraId="3BBF8766">
      <w:pPr>
        <w:numPr>
          <w:ilvl w:val="0"/>
          <w:numId w:val="3"/>
        </w:numPr>
        <w:rPr>
          <w:rFonts w:hint="eastAsia"/>
          <w:color w:val="000000"/>
        </w:rPr>
      </w:pPr>
      <w:r>
        <w:rPr>
          <w:rFonts w:hint="eastAsia"/>
          <w:b/>
          <w:color w:val="000000"/>
        </w:rPr>
        <w:t>评标方法</w:t>
      </w:r>
      <w:r>
        <w:rPr>
          <w:rFonts w:hint="eastAsia"/>
          <w:b/>
          <w:bCs/>
          <w:color w:val="000000"/>
        </w:rPr>
        <w:t>：</w:t>
      </w:r>
      <w:r>
        <w:rPr>
          <w:rFonts w:hint="eastAsia"/>
          <w:color w:val="000000"/>
        </w:rPr>
        <w:t xml:space="preserve"> </w:t>
      </w:r>
      <w:r>
        <w:rPr>
          <w:rFonts w:hint="eastAsia"/>
          <w:i w:val="0"/>
          <w:iCs w:val="0"/>
          <w:color w:val="auto"/>
        </w:rPr>
        <w:t>综合评分法。</w:t>
      </w:r>
    </w:p>
    <w:p w14:paraId="3622AB0E">
      <w:pPr>
        <w:numPr>
          <w:ilvl w:val="0"/>
          <w:numId w:val="3"/>
        </w:numPr>
        <w:rPr>
          <w:rFonts w:hint="eastAsia"/>
          <w:b/>
          <w:bCs/>
          <w:color w:val="000000"/>
        </w:rPr>
      </w:pPr>
      <w:r>
        <w:rPr>
          <w:rFonts w:hint="eastAsia"/>
          <w:b/>
          <w:bCs/>
          <w:color w:val="000000"/>
        </w:rPr>
        <w:t>评标标准</w:t>
      </w:r>
    </w:p>
    <w:p w14:paraId="0395D745">
      <w:pPr>
        <w:numPr>
          <w:ilvl w:val="0"/>
          <w:numId w:val="4"/>
        </w:numPr>
        <w:rPr>
          <w:rFonts w:hint="eastAsia"/>
          <w:i w:val="0"/>
          <w:iCs w:val="0"/>
          <w:color w:val="auto"/>
        </w:rPr>
      </w:pPr>
      <w:r>
        <w:rPr>
          <w:rFonts w:hint="eastAsia"/>
          <w:i w:val="0"/>
          <w:iCs w:val="0"/>
          <w:color w:val="auto"/>
        </w:rPr>
        <w:t>综合评分法，是指投标文件满足招标文件全部实质性要求且按照评审因素的量化指标评审得分最高的供应商为中标候选人。</w:t>
      </w:r>
    </w:p>
    <w:p w14:paraId="36E6DD33">
      <w:pPr>
        <w:numPr>
          <w:ilvl w:val="0"/>
          <w:numId w:val="4"/>
        </w:numPr>
        <w:rPr>
          <w:rFonts w:hint="eastAsia"/>
          <w:color w:val="000000"/>
        </w:rPr>
      </w:pPr>
      <w:r>
        <w:rPr>
          <w:rFonts w:hint="eastAsia"/>
          <w:color w:val="000000"/>
        </w:rPr>
        <w:t>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4A3CCC15">
      <w:pPr>
        <w:rPr>
          <w:rFonts w:hint="eastAsia"/>
          <w:color w:val="000000"/>
        </w:rPr>
      </w:pPr>
      <w:r>
        <w:rPr>
          <w:rFonts w:hint="eastAsia"/>
          <w:color w:val="000000"/>
        </w:rPr>
        <w:t>（3）各项评审因素的设置如下：</w:t>
      </w:r>
    </w:p>
    <w:p w14:paraId="6EC1DD22">
      <w:pPr>
        <w:rPr>
          <w:rFonts w:hint="eastAsia"/>
          <w:b/>
          <w:bCs/>
          <w:color w:val="000000"/>
        </w:rPr>
      </w:pPr>
      <w:r>
        <w:rPr>
          <w:rFonts w:hint="default"/>
          <w:b/>
          <w:bCs/>
          <w:color w:val="000000"/>
        </w:rPr>
        <w:t>①</w:t>
      </w:r>
      <w:r>
        <w:rPr>
          <w:rFonts w:hint="eastAsia"/>
          <w:b/>
          <w:bCs/>
          <w:color w:val="000000"/>
          <w:lang w:val="en-US" w:eastAsia="zh-CN"/>
        </w:rPr>
        <w:t>价</w:t>
      </w:r>
      <w:r>
        <w:rPr>
          <w:rFonts w:hint="eastAsia"/>
          <w:b/>
          <w:bCs/>
          <w:color w:val="000000"/>
        </w:rPr>
        <w:t>格项（F1×A1）满分为</w:t>
      </w:r>
      <w:r>
        <w:rPr>
          <w:rFonts w:hint="eastAsia"/>
          <w:b/>
          <w:bCs/>
          <w:i w:val="0"/>
          <w:iCs w:val="0"/>
          <w:color w:val="auto"/>
          <w:u w:val="single"/>
          <w:lang w:val="en-US" w:eastAsia="zh-CN"/>
        </w:rPr>
        <w:t>30</w:t>
      </w:r>
      <w:r>
        <w:rPr>
          <w:rFonts w:hint="eastAsia"/>
          <w:b/>
          <w:bCs/>
          <w:color w:val="000000"/>
        </w:rPr>
        <w:t>分。</w:t>
      </w:r>
    </w:p>
    <w:p w14:paraId="7046F4D0">
      <w:pPr>
        <w:rPr>
          <w:rFonts w:hint="eastAsia"/>
          <w:color w:val="000000"/>
        </w:rPr>
      </w:pPr>
      <w:r>
        <w:rPr>
          <w:rFonts w:hint="eastAsia"/>
          <w:color w:val="000000"/>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6964D6B8">
      <w:pPr>
        <w:rPr>
          <w:rFonts w:hint="eastAsia"/>
          <w:color w:val="000000"/>
        </w:rPr>
      </w:pPr>
      <w:r>
        <w:rPr>
          <w:rFonts w:hint="eastAsia"/>
          <w:color w:val="000000"/>
        </w:rPr>
        <w:t>b.价格扣除的规则如下：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6751"/>
      </w:tblGrid>
      <w:tr w14:paraId="5058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7733254A">
            <w:pPr>
              <w:rPr>
                <w:color w:val="000000"/>
              </w:rPr>
            </w:pPr>
            <w:r>
              <w:rPr>
                <w:rFonts w:hint="eastAsia"/>
                <w:color w:val="000000"/>
              </w:rPr>
              <w:t>评标项目</w:t>
            </w:r>
          </w:p>
        </w:tc>
        <w:tc>
          <w:tcPr>
            <w:tcW w:w="11514" w:type="dxa"/>
            <w:noWrap w:val="0"/>
            <w:vAlign w:val="top"/>
          </w:tcPr>
          <w:p w14:paraId="2194ADD9">
            <w:pPr>
              <w:rPr>
                <w:color w:val="000000"/>
              </w:rPr>
            </w:pPr>
            <w:r>
              <w:rPr>
                <w:rFonts w:hint="eastAsia"/>
                <w:color w:val="000000"/>
              </w:rPr>
              <w:t>评标方法</w:t>
            </w:r>
          </w:p>
        </w:tc>
      </w:tr>
      <w:tr w14:paraId="74BD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71D960F4">
            <w:pPr>
              <w:rPr>
                <w:color w:val="auto"/>
              </w:rPr>
            </w:pPr>
            <w:r>
              <w:rPr>
                <w:rFonts w:hint="eastAsia"/>
                <w:color w:val="auto"/>
              </w:rPr>
              <w:t>小型、微型企业，监狱企业，残疾人</w:t>
            </w:r>
          </w:p>
        </w:tc>
        <w:tc>
          <w:tcPr>
            <w:tcW w:w="11514" w:type="dxa"/>
            <w:noWrap w:val="0"/>
            <w:vAlign w:val="top"/>
          </w:tcPr>
          <w:p w14:paraId="6D58B2C2">
            <w:pPr>
              <w:rPr>
                <w:b w:val="0"/>
                <w:bCs w:val="0"/>
                <w:color w:val="auto"/>
              </w:rPr>
            </w:pPr>
            <w:r>
              <w:rPr>
                <w:b/>
                <w:bCs/>
                <w:color w:val="auto"/>
              </w:rPr>
              <w:t>1、对小型、微型企业产品（限货物）的价格给予</w:t>
            </w:r>
            <w:r>
              <w:rPr>
                <w:rFonts w:hint="eastAsia"/>
                <w:b/>
                <w:bCs/>
                <w:i/>
                <w:iCs/>
                <w:color w:val="auto"/>
                <w:lang w:val="en-US" w:eastAsia="zh-CN"/>
              </w:rPr>
              <w:t>10</w:t>
            </w:r>
            <w:r>
              <w:rPr>
                <w:b/>
                <w:bCs/>
                <w:i/>
                <w:iCs/>
                <w:color w:val="auto"/>
              </w:rPr>
              <w:t>%</w:t>
            </w:r>
            <w:r>
              <w:rPr>
                <w:b/>
                <w:bCs/>
                <w:color w:val="auto"/>
              </w:rPr>
              <w:t>的扣除。 2、对监狱企业产品（限货物）的价格给予</w:t>
            </w:r>
            <w:r>
              <w:rPr>
                <w:rFonts w:hint="eastAsia"/>
                <w:b/>
                <w:bCs/>
                <w:i/>
                <w:iCs/>
                <w:color w:val="auto"/>
                <w:u w:val="single"/>
                <w:lang w:val="en-US" w:eastAsia="zh-CN"/>
              </w:rPr>
              <w:t>10</w:t>
            </w:r>
            <w:r>
              <w:rPr>
                <w:b/>
                <w:bCs/>
                <w:i/>
                <w:iCs/>
                <w:color w:val="auto"/>
                <w:u w:val="single"/>
              </w:rPr>
              <w:t>%</w:t>
            </w:r>
            <w:r>
              <w:rPr>
                <w:b/>
                <w:bCs/>
                <w:color w:val="auto"/>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color w:val="auto"/>
                <w:lang w:val="en-US" w:eastAsia="zh-CN"/>
              </w:rPr>
              <w:t>10</w:t>
            </w:r>
            <w:r>
              <w:rPr>
                <w:b/>
                <w:bCs/>
                <w:i/>
                <w:iCs/>
                <w:color w:val="auto"/>
              </w:rPr>
              <w:t>%</w:t>
            </w:r>
            <w:r>
              <w:rPr>
                <w:b/>
                <w:bCs/>
                <w:color w:val="auto"/>
              </w:rPr>
              <w:t>的扣除</w:t>
            </w:r>
            <w:r>
              <w:rPr>
                <w:rFonts w:hint="eastAsia"/>
                <w:b/>
                <w:bCs/>
                <w:color w:val="auto"/>
                <w:lang w:eastAsia="zh-CN"/>
              </w:rPr>
              <w:t>。</w:t>
            </w:r>
            <w:r>
              <w:rPr>
                <w:rFonts w:hint="eastAsia"/>
                <w:b/>
                <w:bCs/>
                <w:color w:val="auto"/>
                <w:lang w:val="en-US" w:eastAsia="zh-CN"/>
              </w:rPr>
              <w:t>3、对于</w:t>
            </w:r>
            <w:r>
              <w:rPr>
                <w:rFonts w:hint="eastAsia"/>
                <w:b/>
                <w:bCs/>
                <w:color w:val="auto"/>
              </w:rPr>
              <w:t>节能产品、环境标志产品</w:t>
            </w:r>
            <w:r>
              <w:rPr>
                <w:b/>
                <w:bCs/>
                <w:color w:val="auto"/>
              </w:rPr>
              <w:t>的价格给予</w:t>
            </w:r>
            <w:r>
              <w:rPr>
                <w:rFonts w:hint="eastAsia"/>
                <w:b/>
                <w:bCs/>
                <w:i/>
                <w:iCs/>
                <w:color w:val="auto"/>
                <w:lang w:val="en-US" w:eastAsia="zh-CN"/>
              </w:rPr>
              <w:t>10%</w:t>
            </w:r>
            <w:r>
              <w:rPr>
                <w:b/>
                <w:bCs/>
                <w:color w:val="auto"/>
              </w:rPr>
              <w:t>的扣除。</w:t>
            </w:r>
          </w:p>
        </w:tc>
      </w:tr>
    </w:tbl>
    <w:p w14:paraId="10AE6F4C">
      <w:pPr>
        <w:rPr>
          <w:rFonts w:hint="eastAsia"/>
          <w:b/>
          <w:bCs/>
          <w:color w:val="auto"/>
        </w:rPr>
      </w:pPr>
      <w:r>
        <w:rPr>
          <w:rFonts w:hint="eastAsia"/>
          <w:b/>
          <w:bCs/>
          <w:color w:val="auto"/>
        </w:rPr>
        <w:t>②技术项（F2×A2）满分为</w:t>
      </w:r>
      <w:r>
        <w:rPr>
          <w:rFonts w:hint="eastAsia"/>
          <w:b/>
          <w:bCs/>
          <w:color w:val="auto"/>
          <w:u w:val="single"/>
          <w:lang w:val="en-US" w:eastAsia="zh-CN"/>
        </w:rPr>
        <w:t>57</w:t>
      </w:r>
      <w:r>
        <w:rPr>
          <w:rFonts w:hint="eastAsia"/>
          <w:b/>
          <w:bCs/>
          <w:color w:val="auto"/>
        </w:rPr>
        <w:t>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912"/>
        <w:gridCol w:w="5654"/>
      </w:tblGrid>
      <w:tr w14:paraId="6E0A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6" w:type="dxa"/>
            <w:noWrap w:val="0"/>
            <w:vAlign w:val="top"/>
          </w:tcPr>
          <w:p w14:paraId="623C0A2A">
            <w:pPr>
              <w:rPr>
                <w:rFonts w:hint="eastAsia"/>
                <w:color w:val="000000"/>
              </w:rPr>
            </w:pPr>
            <w:r>
              <w:rPr>
                <w:rFonts w:hint="eastAsia"/>
                <w:color w:val="000000"/>
              </w:rPr>
              <w:t>评标项目</w:t>
            </w:r>
          </w:p>
        </w:tc>
        <w:tc>
          <w:tcPr>
            <w:tcW w:w="912" w:type="dxa"/>
            <w:noWrap w:val="0"/>
            <w:vAlign w:val="top"/>
          </w:tcPr>
          <w:p w14:paraId="58C9FDB2">
            <w:pPr>
              <w:ind w:left="0" w:leftChars="0" w:firstLine="0" w:firstLineChars="0"/>
              <w:rPr>
                <w:rFonts w:hint="eastAsia"/>
                <w:color w:val="000000"/>
              </w:rPr>
            </w:pPr>
            <w:r>
              <w:rPr>
                <w:rFonts w:hint="eastAsia"/>
                <w:color w:val="000000"/>
              </w:rPr>
              <w:t>评标分值</w:t>
            </w:r>
          </w:p>
        </w:tc>
        <w:tc>
          <w:tcPr>
            <w:tcW w:w="5654" w:type="dxa"/>
            <w:noWrap w:val="0"/>
            <w:vAlign w:val="top"/>
          </w:tcPr>
          <w:p w14:paraId="541AFDA4">
            <w:pPr>
              <w:rPr>
                <w:rFonts w:hint="eastAsia"/>
                <w:color w:val="000000"/>
              </w:rPr>
            </w:pPr>
            <w:r>
              <w:rPr>
                <w:rFonts w:hint="eastAsia"/>
                <w:color w:val="000000"/>
              </w:rPr>
              <w:t>评标方法描述</w:t>
            </w:r>
          </w:p>
        </w:tc>
      </w:tr>
      <w:tr w14:paraId="7660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noWrap w:val="0"/>
            <w:vAlign w:val="top"/>
          </w:tcPr>
          <w:p w14:paraId="780ACB2A">
            <w:pPr>
              <w:rPr>
                <w:rFonts w:hint="default" w:ascii="Times New Roman" w:hAnsi="Times New Roman" w:eastAsia="仿宋_GB2312" w:cs="Times New Roman"/>
                <w:kern w:val="2"/>
                <w:sz w:val="21"/>
                <w:lang w:val="en-US" w:eastAsia="zh-CN" w:bidi="ar-SA"/>
              </w:rPr>
            </w:pPr>
            <w:r>
              <w:rPr>
                <w:rFonts w:hint="eastAsia"/>
              </w:rPr>
              <w:t>1.技术响应</w:t>
            </w:r>
          </w:p>
        </w:tc>
        <w:tc>
          <w:tcPr>
            <w:tcW w:w="912" w:type="dxa"/>
            <w:shd w:val="clear" w:color="auto" w:fill="auto"/>
            <w:noWrap w:val="0"/>
            <w:vAlign w:val="center"/>
          </w:tcPr>
          <w:p w14:paraId="5D40B10A">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42</w:t>
            </w:r>
          </w:p>
        </w:tc>
        <w:tc>
          <w:tcPr>
            <w:tcW w:w="5654" w:type="dxa"/>
            <w:shd w:val="clear" w:color="auto" w:fill="auto"/>
            <w:noWrap w:val="0"/>
            <w:vAlign w:val="center"/>
          </w:tcPr>
          <w:p w14:paraId="6F832859">
            <w:pPr>
              <w:rPr>
                <w:rFonts w:hint="eastAsia" w:ascii="Times New Roman" w:hAnsi="Times New Roman" w:eastAsia="宋体" w:cs="Times New Roman"/>
                <w:lang w:val="en-US" w:eastAsia="zh-CN"/>
              </w:rPr>
            </w:pPr>
            <w:r>
              <w:rPr>
                <w:rFonts w:hint="eastAsia" w:ascii="Times New Roman" w:hAnsi="Times New Roman" w:eastAsia="宋体" w:cs="Times New Roman"/>
              </w:rPr>
              <w:t>评标委员会将依据投标人所提供的技术参数偏离表，并综合考虑投标人对所投产品的说明以及对招标文件响应情况等方面，参照招标文件中技术参数的要求进行评价：完全满足各项技术参数及要求的得</w:t>
            </w:r>
            <w:r>
              <w:rPr>
                <w:rFonts w:hint="eastAsia" w:ascii="Times New Roman" w:hAnsi="Times New Roman" w:eastAsia="宋体" w:cs="Times New Roman"/>
                <w:lang w:val="en-US" w:eastAsia="zh-CN"/>
              </w:rPr>
              <w:t>42</w:t>
            </w:r>
            <w:r>
              <w:rPr>
                <w:rFonts w:hint="eastAsia" w:ascii="Times New Roman" w:hAnsi="Times New Roman" w:eastAsia="宋体" w:cs="Times New Roman"/>
              </w:rPr>
              <w:t>分</w:t>
            </w:r>
            <w:r>
              <w:rPr>
                <w:rFonts w:hint="eastAsia" w:ascii="Times New Roman" w:hAnsi="Times New Roman" w:eastAsia="宋体" w:cs="Times New Roman"/>
                <w:lang w:val="en-US" w:eastAsia="zh-CN"/>
              </w:rPr>
              <w:t>,</w:t>
            </w:r>
            <w:r>
              <w:rPr>
                <w:rFonts w:hint="eastAsia" w:ascii="Times New Roman" w:hAnsi="Times New Roman" w:eastAsia="宋体" w:cs="Times New Roman"/>
              </w:rPr>
              <w:t>每负偏离一项扣</w:t>
            </w:r>
            <w:r>
              <w:rPr>
                <w:rFonts w:hint="eastAsia" w:ascii="Times New Roman" w:hAnsi="Times New Roman" w:eastAsia="宋体" w:cs="Times New Roman"/>
                <w:lang w:val="en-US" w:eastAsia="zh-CN"/>
              </w:rPr>
              <w:t>1</w:t>
            </w:r>
            <w:r>
              <w:rPr>
                <w:rFonts w:hint="eastAsia" w:ascii="Times New Roman" w:hAnsi="Times New Roman" w:eastAsia="宋体" w:cs="Times New Roman"/>
              </w:rPr>
              <w:t>分</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共42项</w:t>
            </w:r>
            <w:r>
              <w:rPr>
                <w:rFonts w:hint="eastAsia" w:ascii="Times New Roman" w:hAnsi="Times New Roman" w:eastAsia="宋体" w:cs="Times New Roman"/>
                <w:lang w:eastAsia="zh-CN"/>
              </w:rPr>
              <w:t>）。</w:t>
            </w:r>
          </w:p>
        </w:tc>
      </w:tr>
      <w:tr w14:paraId="7299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14:paraId="2849CA91">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2.样品</w:t>
            </w:r>
          </w:p>
        </w:tc>
        <w:tc>
          <w:tcPr>
            <w:tcW w:w="912" w:type="dxa"/>
            <w:shd w:val="clear" w:color="auto" w:fill="auto"/>
            <w:noWrap w:val="0"/>
            <w:vAlign w:val="center"/>
          </w:tcPr>
          <w:p w14:paraId="749C3021">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9</w:t>
            </w:r>
          </w:p>
        </w:tc>
        <w:tc>
          <w:tcPr>
            <w:tcW w:w="5654" w:type="dxa"/>
            <w:shd w:val="clear" w:color="auto" w:fill="auto"/>
            <w:noWrap w:val="0"/>
            <w:vAlign w:val="top"/>
          </w:tcPr>
          <w:p w14:paraId="27851CFB">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根据供应商所提供样品的可靠性（投标样品尺寸、特征效应、细节处理程度），由评委进行评分：每提供一项样品，与样品参数相符的得1分，共9分。未提供或与样品参数不相符不得分。</w:t>
            </w:r>
          </w:p>
          <w:p w14:paraId="193E70A1">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在评标现场供应商需提供样品清单中要求提供的所有样品和样品对应的证书原件，未提供或提供不全不得分</w:t>
            </w:r>
          </w:p>
        </w:tc>
      </w:tr>
      <w:tr w14:paraId="42A3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noWrap w:val="0"/>
            <w:vAlign w:val="top"/>
          </w:tcPr>
          <w:p w14:paraId="27BE26B2">
            <w:pPr>
              <w:rPr>
                <w:rFonts w:hint="default" w:ascii="Times New Roman" w:hAnsi="Times New Roman" w:eastAsia="仿宋_GB2312" w:cs="Times New Roman"/>
                <w:kern w:val="2"/>
                <w:sz w:val="21"/>
                <w:lang w:val="en-US" w:eastAsia="zh-CN" w:bidi="ar-SA"/>
              </w:rPr>
            </w:pPr>
            <w:r>
              <w:rPr>
                <w:rFonts w:hint="eastAsia"/>
                <w:lang w:val="en-US" w:eastAsia="zh-CN"/>
              </w:rPr>
              <w:t>3</w:t>
            </w:r>
            <w:r>
              <w:rPr>
                <w:rFonts w:hint="eastAsia"/>
              </w:rPr>
              <w:t>.产品质量与可靠性</w:t>
            </w:r>
          </w:p>
        </w:tc>
        <w:tc>
          <w:tcPr>
            <w:tcW w:w="912" w:type="dxa"/>
            <w:noWrap w:val="0"/>
            <w:vAlign w:val="top"/>
          </w:tcPr>
          <w:p w14:paraId="1B22D84B">
            <w:pPr>
              <w:rPr>
                <w:rFonts w:hint="eastAsia" w:ascii="Times New Roman" w:hAnsi="Times New Roman" w:eastAsia="宋体" w:cs="Times New Roman"/>
                <w:kern w:val="2"/>
                <w:sz w:val="21"/>
                <w:lang w:val="en-US" w:eastAsia="zh-CN" w:bidi="ar-SA"/>
              </w:rPr>
            </w:pPr>
            <w:r>
              <w:rPr>
                <w:rFonts w:hint="eastAsia"/>
              </w:rPr>
              <w:t>3</w:t>
            </w:r>
          </w:p>
        </w:tc>
        <w:tc>
          <w:tcPr>
            <w:tcW w:w="5654" w:type="dxa"/>
            <w:noWrap w:val="0"/>
            <w:vAlign w:val="top"/>
          </w:tcPr>
          <w:p w14:paraId="31B94EB4">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供应商或生产厂家具有经中国国家认证认可监督管理委员会认证机构颁发的有效的下列认证：</w:t>
            </w:r>
          </w:p>
          <w:p w14:paraId="5CF3F81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质量管理体系认证；</w:t>
            </w:r>
          </w:p>
          <w:p w14:paraId="354CF3B7">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环境管理体系认证；</w:t>
            </w:r>
          </w:p>
          <w:p w14:paraId="1B7CEFE3">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职业健康安全管理体系认证；</w:t>
            </w:r>
          </w:p>
          <w:p w14:paraId="40FC7FC5">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每具有一项得 1分，满分 3分。</w:t>
            </w:r>
          </w:p>
          <w:p w14:paraId="2E7A43D1">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注：响应文件中同时提供证书扫描件以及全国认证认可信息公共服务平台官网证书信息查询截图，未提供或提供不全的不得分。</w:t>
            </w:r>
          </w:p>
        </w:tc>
      </w:tr>
      <w:tr w14:paraId="55DB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14:paraId="2C1DBF24">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4.技术团队</w:t>
            </w:r>
          </w:p>
        </w:tc>
        <w:tc>
          <w:tcPr>
            <w:tcW w:w="912" w:type="dxa"/>
            <w:shd w:val="clear" w:color="auto" w:fill="auto"/>
            <w:noWrap w:val="0"/>
            <w:vAlign w:val="center"/>
          </w:tcPr>
          <w:p w14:paraId="62AC6145">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5654" w:type="dxa"/>
            <w:shd w:val="clear" w:color="auto" w:fill="auto"/>
            <w:noWrap w:val="0"/>
            <w:vAlign w:val="center"/>
          </w:tcPr>
          <w:p w14:paraId="69547BC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供应商技术团队至少有3位具有珠宝首饰相关的国家职业资格/职业技能等级二级及以上等级的证书，每提供1位得1分，最高得3分。</w:t>
            </w:r>
          </w:p>
          <w:p w14:paraId="4707264E">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需提供团队成员证书复印件、供应商与团队成员签订的劳动合同复印件，以及提交首次响应文件截止时间前三个月（不含提交首次响应文件截止时间当月）内任一个月供应商为其缴纳的社保证明材料复印件，提供不全或不提供不得分】。</w:t>
            </w:r>
          </w:p>
        </w:tc>
      </w:tr>
    </w:tbl>
    <w:p w14:paraId="6EDA3BE1">
      <w:pPr>
        <w:rPr>
          <w:rFonts w:hint="eastAsia"/>
          <w:b/>
          <w:bCs/>
          <w:color w:val="000000"/>
        </w:rPr>
      </w:pPr>
      <w:r>
        <w:rPr>
          <w:rFonts w:hint="eastAsia"/>
          <w:b/>
          <w:bCs/>
          <w:color w:val="000000"/>
        </w:rPr>
        <w:t>③商务项（F3×A3）满分为</w:t>
      </w:r>
      <w:r>
        <w:rPr>
          <w:rFonts w:hint="eastAsia"/>
          <w:b/>
          <w:bCs/>
          <w:i w:val="0"/>
          <w:iCs w:val="0"/>
          <w:color w:val="auto"/>
          <w:u w:val="single"/>
          <w:lang w:val="en-US" w:eastAsia="zh-CN"/>
        </w:rPr>
        <w:t>13</w:t>
      </w:r>
      <w:r>
        <w:rPr>
          <w:rFonts w:hint="eastAsia"/>
          <w:b/>
          <w:bCs/>
          <w:color w:val="000000"/>
        </w:rPr>
        <w:t>分。</w:t>
      </w:r>
    </w:p>
    <w:tbl>
      <w:tblPr>
        <w:tblStyle w:val="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900"/>
        <w:gridCol w:w="5452"/>
      </w:tblGrid>
      <w:tr w14:paraId="013A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tcPr>
          <w:p w14:paraId="33AAF1C1">
            <w:r>
              <w:rPr>
                <w:rFonts w:hint="eastAsia"/>
              </w:rPr>
              <w:t>评标项目</w:t>
            </w:r>
          </w:p>
        </w:tc>
        <w:tc>
          <w:tcPr>
            <w:tcW w:w="900" w:type="dxa"/>
          </w:tcPr>
          <w:p w14:paraId="43B79E60">
            <w:r>
              <w:t>评标分值</w:t>
            </w:r>
          </w:p>
        </w:tc>
        <w:tc>
          <w:tcPr>
            <w:tcW w:w="5452" w:type="dxa"/>
          </w:tcPr>
          <w:p w14:paraId="3A72458A">
            <w:r>
              <w:rPr>
                <w:rFonts w:hint="eastAsia"/>
              </w:rPr>
              <w:t>评标方法描述</w:t>
            </w:r>
          </w:p>
        </w:tc>
      </w:tr>
      <w:tr w14:paraId="4C9C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2227" w:type="dxa"/>
            <w:vAlign w:val="center"/>
          </w:tcPr>
          <w:p w14:paraId="3C992B66">
            <w:r>
              <w:rPr>
                <w:rFonts w:hint="eastAsia"/>
              </w:rPr>
              <w:t>1.业绩情况</w:t>
            </w:r>
          </w:p>
        </w:tc>
        <w:tc>
          <w:tcPr>
            <w:tcW w:w="900" w:type="dxa"/>
            <w:vAlign w:val="center"/>
          </w:tcPr>
          <w:p w14:paraId="48C5F421">
            <w:r>
              <w:rPr>
                <w:rFonts w:hint="eastAsia"/>
              </w:rPr>
              <w:t>3</w:t>
            </w:r>
          </w:p>
        </w:tc>
        <w:tc>
          <w:tcPr>
            <w:tcW w:w="5452" w:type="dxa"/>
            <w:vAlign w:val="center"/>
          </w:tcPr>
          <w:p w14:paraId="14503934">
            <w:r>
              <w:rPr>
                <w:rFonts w:hint="eastAsia"/>
              </w:rPr>
              <w:t>根据各投标人提供202</w:t>
            </w:r>
            <w:r>
              <w:rPr>
                <w:rFonts w:hint="eastAsia"/>
                <w:lang w:val="en-US" w:eastAsia="zh-CN"/>
              </w:rPr>
              <w:t>1</w:t>
            </w:r>
            <w:r>
              <w:rPr>
                <w:rFonts w:hint="eastAsia"/>
              </w:rPr>
              <w:t>年1月1日起至本项目投标截止时间止(日期以验收合格时间为准)由投标人所完成同类项目的销售业绩情况，由评委进行评分：提供1份有效业绩的得1分，满分3分。注：投标人须同时提供中标（成交）公告(提供相关网站中标（成交）公告的下载网页并注明网址)、中标（成交）通知书复印件、采购合同文本复印件，以及验收合格报告、发票相关证明文件复印件，未同时提供以上证明材料的本项不得分。</w:t>
            </w:r>
          </w:p>
        </w:tc>
      </w:tr>
      <w:tr w14:paraId="5DA9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restart"/>
            <w:vAlign w:val="center"/>
          </w:tcPr>
          <w:p w14:paraId="55FED872">
            <w:r>
              <w:rPr>
                <w:rFonts w:hint="eastAsia"/>
              </w:rPr>
              <w:t>2.售后服务</w:t>
            </w:r>
          </w:p>
        </w:tc>
        <w:tc>
          <w:tcPr>
            <w:tcW w:w="900" w:type="dxa"/>
            <w:vAlign w:val="center"/>
          </w:tcPr>
          <w:p w14:paraId="2E100769">
            <w:pPr>
              <w:rPr>
                <w:rFonts w:hint="eastAsia" w:eastAsia="宋体"/>
                <w:lang w:eastAsia="zh-CN"/>
              </w:rPr>
            </w:pPr>
            <w:r>
              <w:rPr>
                <w:rFonts w:hint="eastAsia"/>
                <w:lang w:val="en-US" w:eastAsia="zh-CN"/>
              </w:rPr>
              <w:t>2</w:t>
            </w:r>
          </w:p>
        </w:tc>
        <w:tc>
          <w:tcPr>
            <w:tcW w:w="5452" w:type="dxa"/>
            <w:vAlign w:val="center"/>
          </w:tcPr>
          <w:p w14:paraId="48C8FEB4">
            <w:r>
              <w:rPr>
                <w:rFonts w:hint="eastAsia"/>
              </w:rPr>
              <w:t>根据供应商提供的售后服务情况进行评分：售后服务方案条款内容表述详细、针对本项目特点、落实到负责的人员、有详细的联系方式和地址、有具体的响应时间且快速响应的得</w:t>
            </w:r>
            <w:r>
              <w:rPr>
                <w:rFonts w:hint="eastAsia"/>
                <w:lang w:val="en-US" w:eastAsia="zh-CN"/>
              </w:rPr>
              <w:t>2</w:t>
            </w:r>
            <w:r>
              <w:rPr>
                <w:rFonts w:hint="eastAsia"/>
              </w:rPr>
              <w:t>分；售后服务方案条款内容表述相对简略或缺乏针对性、有详细的联系方式和地址，有具体的响应时间、基本能指导本项目实施的得1分。内容不符合本项目或未提供资料的不得分。</w:t>
            </w:r>
          </w:p>
        </w:tc>
      </w:tr>
      <w:tr w14:paraId="20ED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continue"/>
            <w:vAlign w:val="center"/>
          </w:tcPr>
          <w:p w14:paraId="0874972F"/>
        </w:tc>
        <w:tc>
          <w:tcPr>
            <w:tcW w:w="900" w:type="dxa"/>
            <w:vAlign w:val="center"/>
          </w:tcPr>
          <w:p w14:paraId="163C73F4">
            <w:r>
              <w:rPr>
                <w:rFonts w:hint="eastAsia"/>
              </w:rPr>
              <w:t>3</w:t>
            </w:r>
          </w:p>
        </w:tc>
        <w:tc>
          <w:tcPr>
            <w:tcW w:w="5452" w:type="dxa"/>
            <w:vAlign w:val="center"/>
          </w:tcPr>
          <w:p w14:paraId="57FCA8FE">
            <w:r>
              <w:rPr>
                <w:rFonts w:hint="eastAsia"/>
              </w:rPr>
              <w:t>根据投标人对所投设备的保修期承诺：招标文件要求的质保期为最低要求，投标人必须满足，在此基础上，每增加一年加1分，满分3分。投标文件中质保期未明确的视同满足招标文件的最低要求，承诺的质保期若不满足招标文件要求，视为未实质性响应招标文件要求，按无效投标处理。</w:t>
            </w:r>
          </w:p>
        </w:tc>
      </w:tr>
      <w:tr w14:paraId="5610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continue"/>
            <w:vAlign w:val="center"/>
          </w:tcPr>
          <w:p w14:paraId="4ACF1656"/>
        </w:tc>
        <w:tc>
          <w:tcPr>
            <w:tcW w:w="900" w:type="dxa"/>
            <w:vAlign w:val="center"/>
          </w:tcPr>
          <w:p w14:paraId="4B94C5DF">
            <w:pPr>
              <w:rPr>
                <w:rFonts w:hint="eastAsia" w:eastAsia="宋体"/>
                <w:lang w:eastAsia="zh-CN"/>
              </w:rPr>
            </w:pPr>
            <w:r>
              <w:rPr>
                <w:rFonts w:hint="eastAsia"/>
                <w:lang w:val="en-US" w:eastAsia="zh-CN"/>
              </w:rPr>
              <w:t>2</w:t>
            </w:r>
          </w:p>
        </w:tc>
        <w:tc>
          <w:tcPr>
            <w:tcW w:w="5452" w:type="dxa"/>
            <w:vAlign w:val="center"/>
          </w:tcPr>
          <w:p w14:paraId="1E9FA47F">
            <w:r>
              <w:rPr>
                <w:rFonts w:hint="eastAsia"/>
              </w:rPr>
              <w:t>根据投标人提供的质保期后维修服务的项目及费用承诺（须明确各配件的费用及维修费用）进行评分，进行横向对比最优的得</w:t>
            </w:r>
            <w:r>
              <w:rPr>
                <w:rFonts w:hint="eastAsia"/>
                <w:lang w:val="en-US" w:eastAsia="zh-CN"/>
              </w:rPr>
              <w:t>2</w:t>
            </w:r>
            <w:r>
              <w:rPr>
                <w:rFonts w:hint="eastAsia"/>
              </w:rPr>
              <w:t>分，良的得1分，一般的得0分。（未明确各配件的费用及维修费用本项目不得分。）</w:t>
            </w:r>
          </w:p>
        </w:tc>
      </w:tr>
      <w:tr w14:paraId="1E88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shd w:val="clear" w:color="auto" w:fill="auto"/>
            <w:vAlign w:val="center"/>
          </w:tcPr>
          <w:p w14:paraId="0913C814">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3.项目实施方案</w:t>
            </w:r>
          </w:p>
        </w:tc>
        <w:tc>
          <w:tcPr>
            <w:tcW w:w="900" w:type="dxa"/>
            <w:shd w:val="clear" w:color="auto" w:fill="auto"/>
            <w:vAlign w:val="center"/>
          </w:tcPr>
          <w:p w14:paraId="085A44C8">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5452" w:type="dxa"/>
            <w:shd w:val="clear" w:color="auto" w:fill="auto"/>
            <w:vAlign w:val="center"/>
          </w:tcPr>
          <w:p w14:paraId="615F7C22">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根据供应商针对本项目提供的供货、安装调试、培训、验收方案，由评委进行评分：</w:t>
            </w:r>
          </w:p>
          <w:p w14:paraId="703A1EE2">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供货、安装调试、培训、验收方案具体合理、验收计划全面、实施方案可行，得3分；</w:t>
            </w:r>
          </w:p>
          <w:p w14:paraId="1153E021">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供货、安装调试、培训、验收方案较合理、验收计划较全面、实施方案基本可行，得2分；</w:t>
            </w:r>
          </w:p>
          <w:p w14:paraId="084A76DE">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供货、安装调试、培训、验收方案不够具体、验收计划不够全面、实施方案可行性欠缺，得1分。</w:t>
            </w:r>
          </w:p>
          <w:p w14:paraId="75C591C8">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不提供上述内容或其他情形，得0分。</w:t>
            </w:r>
          </w:p>
        </w:tc>
      </w:tr>
    </w:tbl>
    <w:p w14:paraId="02286B59"/>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F56B1EDC"/>
    <w:multiLevelType w:val="singleLevel"/>
    <w:tmpl w:val="F56B1EDC"/>
    <w:lvl w:ilvl="0" w:tentative="0">
      <w:start w:val="1"/>
      <w:numFmt w:val="decimal"/>
      <w:suff w:val="nothing"/>
      <w:lvlText w:val="（%1）"/>
      <w:lvlJc w:val="left"/>
    </w:lvl>
  </w:abstractNum>
  <w:abstractNum w:abstractNumId="2">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OWU3MzY3OWY2Y2ZlY2U1MmU4MzYxZThmNWE1YjkifQ=="/>
  </w:docVars>
  <w:rsids>
    <w:rsidRoot w:val="735B222E"/>
    <w:rsid w:val="0D096E50"/>
    <w:rsid w:val="1EBFDD17"/>
    <w:rsid w:val="2E5E3EE2"/>
    <w:rsid w:val="4AF835FF"/>
    <w:rsid w:val="4CC21AE4"/>
    <w:rsid w:val="52CB4A72"/>
    <w:rsid w:val="59D217EB"/>
    <w:rsid w:val="5CDF2F4B"/>
    <w:rsid w:val="735B222E"/>
    <w:rsid w:val="7DEF40B1"/>
    <w:rsid w:val="9F6BAAE1"/>
    <w:rsid w:val="AFFA4F5A"/>
    <w:rsid w:val="F7BB9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2"/>
    <w:qFormat/>
    <w:uiPriority w:val="0"/>
    <w:pPr>
      <w:ind w:firstLine="420" w:firstLineChars="100"/>
    </w:pPr>
    <w:rPr>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next w:val="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13">
    <w:name w:val="样式1"/>
    <w:basedOn w:val="1"/>
    <w:qFormat/>
    <w:uiPriority w:val="0"/>
    <w:pPr>
      <w:ind w:firstLine="883" w:firstLineChars="200"/>
    </w:pPr>
    <w:rPr>
      <w:rFonts w:ascii="Calibri" w:hAnsi="Calibri" w:eastAsia="宋体" w:cs="Times New Roman"/>
      <w:sz w:val="30"/>
    </w:rPr>
  </w:style>
  <w:style w:type="paragraph" w:styleId="14">
    <w:name w:val="List Paragraph"/>
    <w:basedOn w:val="1"/>
    <w:qFormat/>
    <w:uiPriority w:val="34"/>
    <w:pPr>
      <w:spacing w:line="360" w:lineRule="auto"/>
      <w:ind w:firstLine="420" w:firstLineChars="200"/>
    </w:pPr>
    <w:rPr>
      <w:rFonts w:ascii="Calibri" w:hAnsi="Calibri" w:eastAsia="仿宋"/>
      <w:sz w:val="30"/>
      <w:szCs w:val="22"/>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_Style 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4766</Words>
  <Characters>5119</Characters>
  <Lines>0</Lines>
  <Paragraphs>0</Paragraphs>
  <TotalTime>0</TotalTime>
  <ScaleCrop>false</ScaleCrop>
  <LinksUpToDate>false</LinksUpToDate>
  <CharactersWithSpaces>5155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2023-10-08T15:47:00Z</dcterms:created>
  <dc:creator>葱说</dc:creator>
  <cp:lastModifiedBy>忘了我吧__</cp:lastModifiedBy>
  <dcterms:modified xsi:type="dcterms:W3CDTF">2024-09-12T08:28:11Z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D8DA84F6BAA279AA1AD357669DA65A24_43</vt:lpwstr>
  </property>
</Properties>
</file>